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6D15F7" w:rsidRPr="006B2E8B" w14:paraId="06A99677" w14:textId="77777777" w:rsidTr="00D62AF5">
        <w:trPr>
          <w:cantSplit/>
        </w:trPr>
        <w:tc>
          <w:tcPr>
            <w:tcW w:w="8122" w:type="dxa"/>
            <w:shd w:val="clear" w:color="auto" w:fill="1D73D6"/>
          </w:tcPr>
          <w:p w14:paraId="70DD808D" w14:textId="77777777" w:rsidR="006D15F7" w:rsidRPr="006B2E8B" w:rsidRDefault="00E31F85">
            <w:pPr>
              <w:pStyle w:val="cTOCHead"/>
            </w:pPr>
            <w:bookmarkStart w:id="0" w:name="_Hlk48563945"/>
            <w:r w:rsidRPr="006B2E8B">
              <w:t xml:space="preserve">section II - </w:t>
            </w:r>
            <w:r w:rsidR="006D15F7" w:rsidRPr="006B2E8B">
              <w:t>Federally qualified health center</w:t>
            </w:r>
          </w:p>
          <w:p w14:paraId="7C999A87" w14:textId="77777777" w:rsidR="006D15F7" w:rsidRPr="006B2E8B" w:rsidRDefault="006D15F7">
            <w:pPr>
              <w:pStyle w:val="cTOCHead"/>
            </w:pPr>
            <w:r w:rsidRPr="006B2E8B">
              <w:t>Contents</w:t>
            </w:r>
          </w:p>
        </w:tc>
        <w:tc>
          <w:tcPr>
            <w:tcW w:w="1238" w:type="dxa"/>
            <w:shd w:val="clear" w:color="auto" w:fill="1D73D6"/>
            <w:vAlign w:val="center"/>
          </w:tcPr>
          <w:p w14:paraId="2BCA303E" w14:textId="77777777" w:rsidR="006D15F7" w:rsidRPr="006B2E8B" w:rsidRDefault="006D15F7" w:rsidP="00E31F85">
            <w:pPr>
              <w:pStyle w:val="cDate1"/>
            </w:pPr>
          </w:p>
        </w:tc>
      </w:tr>
    </w:tbl>
    <w:bookmarkStart w:id="1" w:name="_Hlk105576118"/>
    <w:bookmarkStart w:id="2" w:name="_Hlk199154667"/>
    <w:p w14:paraId="13DA5005" w14:textId="77777777" w:rsidR="00F02144" w:rsidRDefault="006D15F7">
      <w:pPr>
        <w:pStyle w:val="TOC1"/>
        <w:rPr>
          <w:rFonts w:asciiTheme="minorHAnsi" w:eastAsiaTheme="minorEastAsia" w:hAnsiTheme="minorHAnsi" w:cstheme="minorBidi"/>
          <w:b w:val="0"/>
          <w:caps w:val="0"/>
          <w:color w:val="auto"/>
          <w:kern w:val="2"/>
          <w:sz w:val="24"/>
          <w:szCs w:val="24"/>
          <w14:ligatures w14:val="standardContextual"/>
        </w:rPr>
      </w:pPr>
      <w:r w:rsidRPr="006B2E8B">
        <w:fldChar w:fldCharType="begin"/>
      </w:r>
      <w:r w:rsidRPr="006B2E8B">
        <w:instrText xml:space="preserve"> TOC \o "1-9" \n \h \z \t "chead1,1,chead2,2" </w:instrText>
      </w:r>
      <w:r w:rsidRPr="006B2E8B">
        <w:fldChar w:fldCharType="separate"/>
      </w:r>
      <w:hyperlink w:anchor="_Toc202162585" w:history="1">
        <w:r w:rsidR="00F02144" w:rsidRPr="00B31C02">
          <w:rPr>
            <w:rStyle w:val="Hyperlink"/>
          </w:rPr>
          <w:t>200.000</w:t>
        </w:r>
        <w:r w:rsidR="00F02144">
          <w:rPr>
            <w:rFonts w:asciiTheme="minorHAnsi" w:eastAsiaTheme="minorEastAsia" w:hAnsiTheme="minorHAnsi" w:cstheme="minorBidi"/>
            <w:b w:val="0"/>
            <w:caps w:val="0"/>
            <w:color w:val="auto"/>
            <w:kern w:val="2"/>
            <w:sz w:val="24"/>
            <w:szCs w:val="24"/>
            <w14:ligatures w14:val="standardContextual"/>
          </w:rPr>
          <w:tab/>
        </w:r>
        <w:r w:rsidR="00F02144" w:rsidRPr="00B31C02">
          <w:rPr>
            <w:rStyle w:val="Hyperlink"/>
          </w:rPr>
          <w:t>FQHC GENERAL INFORMATION</w:t>
        </w:r>
      </w:hyperlink>
    </w:p>
    <w:p w14:paraId="393C924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86" w:history="1">
        <w:r w:rsidRPr="00B31C02">
          <w:rPr>
            <w:rStyle w:val="Hyperlink"/>
          </w:rPr>
          <w:t>201.000</w:t>
        </w:r>
        <w:r>
          <w:rPr>
            <w:rFonts w:asciiTheme="minorHAnsi" w:eastAsiaTheme="minorEastAsia" w:hAnsiTheme="minorHAnsi" w:cstheme="minorBidi"/>
            <w:kern w:val="2"/>
            <w:sz w:val="24"/>
            <w:szCs w:val="24"/>
            <w14:ligatures w14:val="standardContextual"/>
          </w:rPr>
          <w:tab/>
        </w:r>
        <w:r w:rsidRPr="00B31C02">
          <w:rPr>
            <w:rStyle w:val="Hyperlink"/>
          </w:rPr>
          <w:t>Arkansas Medicaid Participation Requirements for Federally Qualified Health Centers</w:t>
        </w:r>
      </w:hyperlink>
    </w:p>
    <w:p w14:paraId="63C48C0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87" w:history="1">
        <w:r w:rsidRPr="00B31C02">
          <w:rPr>
            <w:rStyle w:val="Hyperlink"/>
          </w:rPr>
          <w:t>201.001</w:t>
        </w:r>
        <w:r>
          <w:rPr>
            <w:rFonts w:asciiTheme="minorHAnsi" w:eastAsiaTheme="minorEastAsia" w:hAnsiTheme="minorHAnsi" w:cstheme="minorBidi"/>
            <w:kern w:val="2"/>
            <w:sz w:val="24"/>
            <w:szCs w:val="24"/>
            <w14:ligatures w14:val="standardContextual"/>
          </w:rPr>
          <w:tab/>
        </w:r>
        <w:r w:rsidRPr="00B31C02">
          <w:rPr>
            <w:rStyle w:val="Hyperlink"/>
          </w:rPr>
          <w:t>Electronic Signatures</w:t>
        </w:r>
      </w:hyperlink>
    </w:p>
    <w:p w14:paraId="063DBBE6"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88" w:history="1">
        <w:r w:rsidRPr="00B31C02">
          <w:rPr>
            <w:rStyle w:val="Hyperlink"/>
          </w:rPr>
          <w:t>201.100</w:t>
        </w:r>
        <w:r>
          <w:rPr>
            <w:rFonts w:asciiTheme="minorHAnsi" w:eastAsiaTheme="minorEastAsia" w:hAnsiTheme="minorHAnsi" w:cstheme="minorBidi"/>
            <w:kern w:val="2"/>
            <w:sz w:val="24"/>
            <w:szCs w:val="24"/>
            <w14:ligatures w14:val="standardContextual"/>
          </w:rPr>
          <w:tab/>
        </w:r>
        <w:r w:rsidRPr="00B31C02">
          <w:rPr>
            <w:rStyle w:val="Hyperlink"/>
          </w:rPr>
          <w:t>Participation Requirements for FQHC "Satellite" Clinics</w:t>
        </w:r>
      </w:hyperlink>
    </w:p>
    <w:p w14:paraId="095E0C9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89" w:history="1">
        <w:r w:rsidRPr="00B31C02">
          <w:rPr>
            <w:rStyle w:val="Hyperlink"/>
          </w:rPr>
          <w:t>201.200</w:t>
        </w:r>
        <w:r>
          <w:rPr>
            <w:rFonts w:asciiTheme="minorHAnsi" w:eastAsiaTheme="minorEastAsia" w:hAnsiTheme="minorHAnsi" w:cstheme="minorBidi"/>
            <w:kern w:val="2"/>
            <w:sz w:val="24"/>
            <w:szCs w:val="24"/>
            <w14:ligatures w14:val="standardContextual"/>
          </w:rPr>
          <w:tab/>
        </w:r>
        <w:r w:rsidRPr="00B31C02">
          <w:rPr>
            <w:rStyle w:val="Hyperlink"/>
          </w:rPr>
          <w:t>Enrollment Requirement for Coverage of FQHC Services not Covered by Medicare</w:t>
        </w:r>
      </w:hyperlink>
    </w:p>
    <w:p w14:paraId="7816EDB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0" w:history="1">
        <w:r w:rsidRPr="00B31C02">
          <w:rPr>
            <w:rStyle w:val="Hyperlink"/>
          </w:rPr>
          <w:t>201.300</w:t>
        </w:r>
        <w:r>
          <w:rPr>
            <w:rFonts w:asciiTheme="minorHAnsi" w:eastAsiaTheme="minorEastAsia" w:hAnsiTheme="minorHAnsi" w:cstheme="minorBidi"/>
            <w:kern w:val="2"/>
            <w:sz w:val="24"/>
            <w:szCs w:val="24"/>
            <w14:ligatures w14:val="standardContextual"/>
          </w:rPr>
          <w:tab/>
        </w:r>
        <w:r w:rsidRPr="00B31C02">
          <w:rPr>
            <w:rStyle w:val="Hyperlink"/>
          </w:rPr>
          <w:t>Participation Requirements for FQHCs Providing "Other Ambulatory Services"</w:t>
        </w:r>
      </w:hyperlink>
    </w:p>
    <w:p w14:paraId="22AADAB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1" w:history="1">
        <w:r w:rsidRPr="00B31C02">
          <w:rPr>
            <w:rStyle w:val="Hyperlink"/>
          </w:rPr>
          <w:t>202.000</w:t>
        </w:r>
        <w:r>
          <w:rPr>
            <w:rFonts w:asciiTheme="minorHAnsi" w:eastAsiaTheme="minorEastAsia" w:hAnsiTheme="minorHAnsi" w:cstheme="minorBidi"/>
            <w:kern w:val="2"/>
            <w:sz w:val="24"/>
            <w:szCs w:val="24"/>
            <w14:ligatures w14:val="standardContextual"/>
          </w:rPr>
          <w:tab/>
        </w:r>
        <w:r w:rsidRPr="00B31C02">
          <w:rPr>
            <w:rStyle w:val="Hyperlink"/>
          </w:rPr>
          <w:t>The FQHC’s Role in the Child Health Services (EPSDT) Program</w:t>
        </w:r>
      </w:hyperlink>
    </w:p>
    <w:p w14:paraId="0F95E99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2" w:history="1">
        <w:r w:rsidRPr="00B31C02">
          <w:rPr>
            <w:rStyle w:val="Hyperlink"/>
          </w:rPr>
          <w:t>202.100</w:t>
        </w:r>
        <w:r>
          <w:rPr>
            <w:rFonts w:asciiTheme="minorHAnsi" w:eastAsiaTheme="minorEastAsia" w:hAnsiTheme="minorHAnsi" w:cstheme="minorBidi"/>
            <w:kern w:val="2"/>
            <w:sz w:val="24"/>
            <w:szCs w:val="24"/>
            <w14:ligatures w14:val="standardContextual"/>
          </w:rPr>
          <w:tab/>
        </w:r>
        <w:r w:rsidRPr="00B31C02">
          <w:rPr>
            <w:rStyle w:val="Hyperlink"/>
          </w:rPr>
          <w:t>The FQHC’s Role in the Vaccines for Children (VFC) Program</w:t>
        </w:r>
      </w:hyperlink>
    </w:p>
    <w:p w14:paraId="052FEFE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3" w:history="1">
        <w:r w:rsidRPr="00B31C02">
          <w:rPr>
            <w:rStyle w:val="Hyperlink"/>
          </w:rPr>
          <w:t>202.200</w:t>
        </w:r>
        <w:r>
          <w:rPr>
            <w:rFonts w:asciiTheme="minorHAnsi" w:eastAsiaTheme="minorEastAsia" w:hAnsiTheme="minorHAnsi" w:cstheme="minorBidi"/>
            <w:kern w:val="2"/>
            <w:sz w:val="24"/>
            <w:szCs w:val="24"/>
            <w14:ligatures w14:val="standardContextual"/>
          </w:rPr>
          <w:tab/>
        </w:r>
        <w:r w:rsidRPr="00B31C02">
          <w:rPr>
            <w:rStyle w:val="Hyperlink"/>
          </w:rPr>
          <w:t>The FQHC’s Role in the Arkansas Medicaid Pharmacy Program</w:t>
        </w:r>
      </w:hyperlink>
    </w:p>
    <w:p w14:paraId="1B13F9F1"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4" w:history="1">
        <w:r w:rsidRPr="00B31C02">
          <w:rPr>
            <w:rStyle w:val="Hyperlink"/>
          </w:rPr>
          <w:t>203.000</w:t>
        </w:r>
        <w:r>
          <w:rPr>
            <w:rFonts w:asciiTheme="minorHAnsi" w:eastAsiaTheme="minorEastAsia" w:hAnsiTheme="minorHAnsi" w:cstheme="minorBidi"/>
            <w:kern w:val="2"/>
            <w:sz w:val="24"/>
            <w:szCs w:val="24"/>
            <w14:ligatures w14:val="standardContextual"/>
          </w:rPr>
          <w:tab/>
        </w:r>
        <w:r w:rsidRPr="00B31C02">
          <w:rPr>
            <w:rStyle w:val="Hyperlink"/>
          </w:rPr>
          <w:t>Primary Care Physician (PCP) Twenty-four Hour Patient Access Requirement</w:t>
        </w:r>
      </w:hyperlink>
    </w:p>
    <w:p w14:paraId="686857C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5" w:history="1">
        <w:r w:rsidRPr="00B31C02">
          <w:rPr>
            <w:rStyle w:val="Hyperlink"/>
          </w:rPr>
          <w:t>204.000</w:t>
        </w:r>
        <w:r>
          <w:rPr>
            <w:rFonts w:asciiTheme="minorHAnsi" w:eastAsiaTheme="minorEastAsia" w:hAnsiTheme="minorHAnsi" w:cstheme="minorBidi"/>
            <w:kern w:val="2"/>
            <w:sz w:val="24"/>
            <w:szCs w:val="24"/>
            <w14:ligatures w14:val="standardContextual"/>
          </w:rPr>
          <w:tab/>
        </w:r>
        <w:r w:rsidRPr="00B31C02">
          <w:rPr>
            <w:rStyle w:val="Hyperlink"/>
          </w:rPr>
          <w:t>Medical Records that FQHC are Required to Keep</w:t>
        </w:r>
      </w:hyperlink>
    </w:p>
    <w:p w14:paraId="05FC8D92" w14:textId="77777777" w:rsidR="00F02144" w:rsidRDefault="00F02144">
      <w:pPr>
        <w:pStyle w:val="TOC1"/>
        <w:rPr>
          <w:rFonts w:asciiTheme="minorHAnsi" w:eastAsiaTheme="minorEastAsia" w:hAnsiTheme="minorHAnsi" w:cstheme="minorBidi"/>
          <w:b w:val="0"/>
          <w:caps w:val="0"/>
          <w:color w:val="auto"/>
          <w:kern w:val="2"/>
          <w:sz w:val="24"/>
          <w:szCs w:val="24"/>
          <w14:ligatures w14:val="standardContextual"/>
        </w:rPr>
      </w:pPr>
      <w:hyperlink w:anchor="_Toc202162596" w:history="1">
        <w:r w:rsidRPr="00B31C02">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B31C02">
          <w:rPr>
            <w:rStyle w:val="Hyperlink"/>
          </w:rPr>
          <w:t>PROGRAM COVERAGE</w:t>
        </w:r>
      </w:hyperlink>
    </w:p>
    <w:p w14:paraId="44CFBB7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7" w:history="1">
        <w:r w:rsidRPr="00B31C02">
          <w:rPr>
            <w:rStyle w:val="Hyperlink"/>
          </w:rPr>
          <w:t>211.000</w:t>
        </w:r>
        <w:r>
          <w:rPr>
            <w:rFonts w:asciiTheme="minorHAnsi" w:eastAsiaTheme="minorEastAsia" w:hAnsiTheme="minorHAnsi" w:cstheme="minorBidi"/>
            <w:kern w:val="2"/>
            <w:sz w:val="24"/>
            <w:szCs w:val="24"/>
            <w14:ligatures w14:val="standardContextual"/>
          </w:rPr>
          <w:tab/>
        </w:r>
        <w:r w:rsidRPr="00B31C02">
          <w:rPr>
            <w:rStyle w:val="Hyperlink"/>
          </w:rPr>
          <w:t>Introduction</w:t>
        </w:r>
      </w:hyperlink>
    </w:p>
    <w:p w14:paraId="705751C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8" w:history="1">
        <w:r w:rsidRPr="00B31C02">
          <w:rPr>
            <w:rStyle w:val="Hyperlink"/>
          </w:rPr>
          <w:t>212.000</w:t>
        </w:r>
        <w:r>
          <w:rPr>
            <w:rFonts w:asciiTheme="minorHAnsi" w:eastAsiaTheme="minorEastAsia" w:hAnsiTheme="minorHAnsi" w:cstheme="minorBidi"/>
            <w:kern w:val="2"/>
            <w:sz w:val="24"/>
            <w:szCs w:val="24"/>
            <w14:ligatures w14:val="standardContextual"/>
          </w:rPr>
          <w:tab/>
        </w:r>
        <w:r w:rsidRPr="00B31C02">
          <w:rPr>
            <w:rStyle w:val="Hyperlink"/>
          </w:rPr>
          <w:t>Scope</w:t>
        </w:r>
      </w:hyperlink>
    </w:p>
    <w:p w14:paraId="60E9ADD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599" w:history="1">
        <w:r w:rsidRPr="00B31C02">
          <w:rPr>
            <w:rStyle w:val="Hyperlink"/>
          </w:rPr>
          <w:t>212.100</w:t>
        </w:r>
        <w:r>
          <w:rPr>
            <w:rFonts w:asciiTheme="minorHAnsi" w:eastAsiaTheme="minorEastAsia" w:hAnsiTheme="minorHAnsi" w:cstheme="minorBidi"/>
            <w:kern w:val="2"/>
            <w:sz w:val="24"/>
            <w:szCs w:val="24"/>
            <w14:ligatures w14:val="standardContextual"/>
          </w:rPr>
          <w:tab/>
        </w:r>
        <w:r w:rsidRPr="00B31C02">
          <w:rPr>
            <w:rStyle w:val="Hyperlink"/>
          </w:rPr>
          <w:t>A Patient of the FQHC</w:t>
        </w:r>
      </w:hyperlink>
    </w:p>
    <w:p w14:paraId="7FBFDE4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0" w:history="1">
        <w:r w:rsidRPr="00B31C02">
          <w:rPr>
            <w:rStyle w:val="Hyperlink"/>
          </w:rPr>
          <w:t>212.200</w:t>
        </w:r>
        <w:r>
          <w:rPr>
            <w:rFonts w:asciiTheme="minorHAnsi" w:eastAsiaTheme="minorEastAsia" w:hAnsiTheme="minorHAnsi" w:cstheme="minorBidi"/>
            <w:kern w:val="2"/>
            <w:sz w:val="24"/>
            <w:szCs w:val="24"/>
            <w14:ligatures w14:val="standardContextual"/>
          </w:rPr>
          <w:tab/>
        </w:r>
        <w:r w:rsidRPr="00B31C02">
          <w:rPr>
            <w:rStyle w:val="Hyperlink"/>
          </w:rPr>
          <w:t>FQHC Core Services</w:t>
        </w:r>
      </w:hyperlink>
    </w:p>
    <w:p w14:paraId="7EC0738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1" w:history="1">
        <w:r w:rsidRPr="00B31C02">
          <w:rPr>
            <w:rStyle w:val="Hyperlink"/>
          </w:rPr>
          <w:t>212.210</w:t>
        </w:r>
        <w:r>
          <w:rPr>
            <w:rFonts w:asciiTheme="minorHAnsi" w:eastAsiaTheme="minorEastAsia" w:hAnsiTheme="minorHAnsi" w:cstheme="minorBidi"/>
            <w:kern w:val="2"/>
            <w:sz w:val="24"/>
            <w:szCs w:val="24"/>
            <w14:ligatures w14:val="standardContextual"/>
          </w:rPr>
          <w:tab/>
        </w:r>
        <w:r w:rsidRPr="00B31C02">
          <w:rPr>
            <w:rStyle w:val="Hyperlink"/>
          </w:rPr>
          <w:t>Services "Incident To" a Physician's Professional Services</w:t>
        </w:r>
      </w:hyperlink>
    </w:p>
    <w:p w14:paraId="381D2BE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2" w:history="1">
        <w:r w:rsidRPr="00B31C02">
          <w:rPr>
            <w:rStyle w:val="Hyperlink"/>
          </w:rPr>
          <w:t>212.220</w:t>
        </w:r>
        <w:r>
          <w:rPr>
            <w:rFonts w:asciiTheme="minorHAnsi" w:eastAsiaTheme="minorEastAsia" w:hAnsiTheme="minorHAnsi" w:cstheme="minorBidi"/>
            <w:kern w:val="2"/>
            <w:sz w:val="24"/>
            <w:szCs w:val="24"/>
            <w14:ligatures w14:val="standardContextual"/>
          </w:rPr>
          <w:tab/>
        </w:r>
        <w:r w:rsidRPr="00B31C02">
          <w:rPr>
            <w:rStyle w:val="Hyperlink"/>
          </w:rPr>
          <w:t>Services Furnished in Collaboration with a Physician</w:t>
        </w:r>
      </w:hyperlink>
    </w:p>
    <w:p w14:paraId="522A34B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3" w:history="1">
        <w:r w:rsidRPr="00B31C02">
          <w:rPr>
            <w:rStyle w:val="Hyperlink"/>
          </w:rPr>
          <w:t>212.230</w:t>
        </w:r>
        <w:r>
          <w:rPr>
            <w:rFonts w:asciiTheme="minorHAnsi" w:eastAsiaTheme="minorEastAsia" w:hAnsiTheme="minorHAnsi" w:cstheme="minorBidi"/>
            <w:kern w:val="2"/>
            <w:sz w:val="24"/>
            <w:szCs w:val="24"/>
            <w14:ligatures w14:val="standardContextual"/>
          </w:rPr>
          <w:tab/>
        </w:r>
        <w:r w:rsidRPr="00B31C02">
          <w:rPr>
            <w:rStyle w:val="Hyperlink"/>
          </w:rPr>
          <w:t>Services and Supplies "Incident To" a Nurse Practitioner's or Physician Assistant's Services</w:t>
        </w:r>
      </w:hyperlink>
    </w:p>
    <w:p w14:paraId="3835AE6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4" w:history="1">
        <w:r w:rsidRPr="00B31C02">
          <w:rPr>
            <w:rStyle w:val="Hyperlink"/>
          </w:rPr>
          <w:t>212.240</w:t>
        </w:r>
        <w:r>
          <w:rPr>
            <w:rFonts w:asciiTheme="minorHAnsi" w:eastAsiaTheme="minorEastAsia" w:hAnsiTheme="minorHAnsi" w:cstheme="minorBidi"/>
            <w:kern w:val="2"/>
            <w:sz w:val="24"/>
            <w:szCs w:val="24"/>
            <w14:ligatures w14:val="standardContextual"/>
          </w:rPr>
          <w:tab/>
        </w:r>
        <w:r w:rsidRPr="00B31C02">
          <w:rPr>
            <w:rStyle w:val="Hyperlink"/>
          </w:rPr>
          <w:t>Services and Supplies "Incident To" a Clinical Psychologist's Services</w:t>
        </w:r>
      </w:hyperlink>
    </w:p>
    <w:p w14:paraId="7E71197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5" w:history="1">
        <w:r w:rsidRPr="00B31C02">
          <w:rPr>
            <w:rStyle w:val="Hyperlink"/>
          </w:rPr>
          <w:t>212.250</w:t>
        </w:r>
        <w:r>
          <w:rPr>
            <w:rFonts w:asciiTheme="minorHAnsi" w:eastAsiaTheme="minorEastAsia" w:hAnsiTheme="minorHAnsi" w:cstheme="minorBidi"/>
            <w:kern w:val="2"/>
            <w:sz w:val="24"/>
            <w:szCs w:val="24"/>
            <w14:ligatures w14:val="standardContextual"/>
          </w:rPr>
          <w:tab/>
        </w:r>
        <w:r w:rsidRPr="00B31C02">
          <w:rPr>
            <w:rStyle w:val="Hyperlink"/>
          </w:rPr>
          <w:t>Clinical Social Worker Services</w:t>
        </w:r>
      </w:hyperlink>
    </w:p>
    <w:p w14:paraId="53EA8E7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6" w:history="1">
        <w:r w:rsidRPr="00B31C02">
          <w:rPr>
            <w:rStyle w:val="Hyperlink"/>
          </w:rPr>
          <w:t>212.260</w:t>
        </w:r>
        <w:r>
          <w:rPr>
            <w:rFonts w:asciiTheme="minorHAnsi" w:eastAsiaTheme="minorEastAsia" w:hAnsiTheme="minorHAnsi" w:cstheme="minorBidi"/>
            <w:kern w:val="2"/>
            <w:sz w:val="24"/>
            <w:szCs w:val="24"/>
            <w14:ligatures w14:val="standardContextual"/>
          </w:rPr>
          <w:tab/>
        </w:r>
        <w:r w:rsidRPr="00B31C02">
          <w:rPr>
            <w:rStyle w:val="Hyperlink"/>
          </w:rPr>
          <w:t>Licensed Certified Social Worker</w:t>
        </w:r>
      </w:hyperlink>
    </w:p>
    <w:p w14:paraId="686974A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7" w:history="1">
        <w:r w:rsidRPr="00B31C02">
          <w:rPr>
            <w:rStyle w:val="Hyperlink"/>
          </w:rPr>
          <w:t>212.270</w:t>
        </w:r>
        <w:r>
          <w:rPr>
            <w:rFonts w:asciiTheme="minorHAnsi" w:eastAsiaTheme="minorEastAsia" w:hAnsiTheme="minorHAnsi" w:cstheme="minorBidi"/>
            <w:kern w:val="2"/>
            <w:sz w:val="24"/>
            <w:szCs w:val="24"/>
            <w14:ligatures w14:val="standardContextual"/>
          </w:rPr>
          <w:tab/>
        </w:r>
        <w:r w:rsidRPr="00B31C02">
          <w:rPr>
            <w:rStyle w:val="Hyperlink"/>
          </w:rPr>
          <w:t>Licensed Professional Counselor</w:t>
        </w:r>
      </w:hyperlink>
    </w:p>
    <w:p w14:paraId="30AE092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8" w:history="1">
        <w:r w:rsidRPr="00B31C02">
          <w:rPr>
            <w:rStyle w:val="Hyperlink"/>
          </w:rPr>
          <w:t>212.280</w:t>
        </w:r>
        <w:r>
          <w:rPr>
            <w:rFonts w:asciiTheme="minorHAnsi" w:eastAsiaTheme="minorEastAsia" w:hAnsiTheme="minorHAnsi" w:cstheme="minorBidi"/>
            <w:kern w:val="2"/>
            <w:sz w:val="24"/>
            <w:szCs w:val="24"/>
            <w14:ligatures w14:val="standardContextual"/>
          </w:rPr>
          <w:tab/>
        </w:r>
        <w:r w:rsidRPr="00B31C02">
          <w:rPr>
            <w:rStyle w:val="Hyperlink"/>
          </w:rPr>
          <w:t>Licensed Mental Health Counselor</w:t>
        </w:r>
      </w:hyperlink>
    </w:p>
    <w:p w14:paraId="1FA31EF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09" w:history="1">
        <w:r w:rsidRPr="00B31C02">
          <w:rPr>
            <w:rStyle w:val="Hyperlink"/>
          </w:rPr>
          <w:t>212.290</w:t>
        </w:r>
        <w:r>
          <w:rPr>
            <w:rFonts w:asciiTheme="minorHAnsi" w:eastAsiaTheme="minorEastAsia" w:hAnsiTheme="minorHAnsi" w:cstheme="minorBidi"/>
            <w:kern w:val="2"/>
            <w:sz w:val="24"/>
            <w:szCs w:val="24"/>
            <w14:ligatures w14:val="standardContextual"/>
          </w:rPr>
          <w:tab/>
        </w:r>
        <w:r w:rsidRPr="00B31C02">
          <w:rPr>
            <w:rStyle w:val="Hyperlink"/>
          </w:rPr>
          <w:t>Licensed Marriage and Family Therapist</w:t>
        </w:r>
      </w:hyperlink>
    </w:p>
    <w:p w14:paraId="4FE81A9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0" w:history="1">
        <w:r w:rsidRPr="00B31C02">
          <w:rPr>
            <w:rStyle w:val="Hyperlink"/>
          </w:rPr>
          <w:t>212.300</w:t>
        </w:r>
        <w:r>
          <w:rPr>
            <w:rFonts w:asciiTheme="minorHAnsi" w:eastAsiaTheme="minorEastAsia" w:hAnsiTheme="minorHAnsi" w:cstheme="minorBidi"/>
            <w:kern w:val="2"/>
            <w:sz w:val="24"/>
            <w:szCs w:val="24"/>
            <w14:ligatures w14:val="standardContextual"/>
          </w:rPr>
          <w:tab/>
        </w:r>
        <w:r w:rsidRPr="00B31C02">
          <w:rPr>
            <w:rStyle w:val="Hyperlink"/>
          </w:rPr>
          <w:t>Off-Site FQHC Services</w:t>
        </w:r>
      </w:hyperlink>
    </w:p>
    <w:p w14:paraId="164FD391"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1" w:history="1">
        <w:r w:rsidRPr="00B31C02">
          <w:rPr>
            <w:rStyle w:val="Hyperlink"/>
          </w:rPr>
          <w:t>212.310</w:t>
        </w:r>
        <w:r>
          <w:rPr>
            <w:rFonts w:asciiTheme="minorHAnsi" w:eastAsiaTheme="minorEastAsia" w:hAnsiTheme="minorHAnsi" w:cstheme="minorBidi"/>
            <w:kern w:val="2"/>
            <w:sz w:val="24"/>
            <w:szCs w:val="24"/>
            <w14:ligatures w14:val="standardContextual"/>
          </w:rPr>
          <w:tab/>
        </w:r>
        <w:r w:rsidRPr="00B31C02">
          <w:rPr>
            <w:rStyle w:val="Hyperlink"/>
          </w:rPr>
          <w:t>Inpatient Hospital Visits</w:t>
        </w:r>
      </w:hyperlink>
    </w:p>
    <w:p w14:paraId="0F741F9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2" w:history="1">
        <w:r w:rsidRPr="00B31C02">
          <w:rPr>
            <w:rStyle w:val="Hyperlink"/>
          </w:rPr>
          <w:t>212.400</w:t>
        </w:r>
        <w:r>
          <w:rPr>
            <w:rFonts w:asciiTheme="minorHAnsi" w:eastAsiaTheme="minorEastAsia" w:hAnsiTheme="minorHAnsi" w:cstheme="minorBidi"/>
            <w:kern w:val="2"/>
            <w:sz w:val="24"/>
            <w:szCs w:val="24"/>
            <w14:ligatures w14:val="standardContextual"/>
          </w:rPr>
          <w:tab/>
        </w:r>
        <w:r w:rsidRPr="00B31C02">
          <w:rPr>
            <w:rStyle w:val="Hyperlink"/>
          </w:rPr>
          <w:t>Interactive Electronic ("Telemedicine") Encounters</w:t>
        </w:r>
      </w:hyperlink>
    </w:p>
    <w:p w14:paraId="74EBD8D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3" w:history="1">
        <w:r w:rsidRPr="00B31C02">
          <w:rPr>
            <w:rStyle w:val="Hyperlink"/>
          </w:rPr>
          <w:t>213.000</w:t>
        </w:r>
        <w:r>
          <w:rPr>
            <w:rFonts w:asciiTheme="minorHAnsi" w:eastAsiaTheme="minorEastAsia" w:hAnsiTheme="minorHAnsi" w:cstheme="minorBidi"/>
            <w:kern w:val="2"/>
            <w:sz w:val="24"/>
            <w:szCs w:val="24"/>
            <w14:ligatures w14:val="standardContextual"/>
          </w:rPr>
          <w:tab/>
        </w:r>
        <w:r w:rsidRPr="00B31C02">
          <w:rPr>
            <w:rStyle w:val="Hyperlink"/>
          </w:rPr>
          <w:t>FQHC Other Ambulatory Services</w:t>
        </w:r>
      </w:hyperlink>
    </w:p>
    <w:p w14:paraId="16EB724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4" w:history="1">
        <w:r w:rsidRPr="00B31C02">
          <w:rPr>
            <w:rStyle w:val="Hyperlink"/>
          </w:rPr>
          <w:t>214.000</w:t>
        </w:r>
        <w:r>
          <w:rPr>
            <w:rFonts w:asciiTheme="minorHAnsi" w:eastAsiaTheme="minorEastAsia" w:hAnsiTheme="minorHAnsi" w:cstheme="minorBidi"/>
            <w:kern w:val="2"/>
            <w:sz w:val="24"/>
            <w:szCs w:val="24"/>
            <w14:ligatures w14:val="standardContextual"/>
          </w:rPr>
          <w:tab/>
        </w:r>
        <w:r w:rsidRPr="00B31C02">
          <w:rPr>
            <w:rStyle w:val="Hyperlink"/>
          </w:rPr>
          <w:t>FQHC Encounters</w:t>
        </w:r>
      </w:hyperlink>
    </w:p>
    <w:p w14:paraId="618CA98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5" w:history="1">
        <w:r w:rsidRPr="00B31C02">
          <w:rPr>
            <w:rStyle w:val="Hyperlink"/>
          </w:rPr>
          <w:t>214.100</w:t>
        </w:r>
        <w:r>
          <w:rPr>
            <w:rFonts w:asciiTheme="minorHAnsi" w:eastAsiaTheme="minorEastAsia" w:hAnsiTheme="minorHAnsi" w:cstheme="minorBidi"/>
            <w:kern w:val="2"/>
            <w:sz w:val="24"/>
            <w:szCs w:val="24"/>
            <w14:ligatures w14:val="standardContextual"/>
          </w:rPr>
          <w:tab/>
        </w:r>
        <w:r w:rsidRPr="00B31C02">
          <w:rPr>
            <w:rStyle w:val="Hyperlink"/>
          </w:rPr>
          <w:t>Definition of an FQHC "Core Service" Encounter</w:t>
        </w:r>
      </w:hyperlink>
    </w:p>
    <w:p w14:paraId="6C5134D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6" w:history="1">
        <w:r w:rsidRPr="00B31C02">
          <w:rPr>
            <w:rStyle w:val="Hyperlink"/>
          </w:rPr>
          <w:t>214.101</w:t>
        </w:r>
        <w:r>
          <w:rPr>
            <w:rFonts w:asciiTheme="minorHAnsi" w:eastAsiaTheme="minorEastAsia" w:hAnsiTheme="minorHAnsi" w:cstheme="minorBidi"/>
            <w:kern w:val="2"/>
            <w:sz w:val="24"/>
            <w:szCs w:val="24"/>
            <w14:ligatures w14:val="standardContextual"/>
          </w:rPr>
          <w:tab/>
        </w:r>
        <w:r w:rsidRPr="00B31C02">
          <w:rPr>
            <w:rStyle w:val="Hyperlink"/>
          </w:rPr>
          <w:t>Group Psychotherapy as an FQHC Core Service Encounter</w:t>
        </w:r>
      </w:hyperlink>
    </w:p>
    <w:p w14:paraId="0264821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7" w:history="1">
        <w:r w:rsidRPr="00B31C02">
          <w:rPr>
            <w:rStyle w:val="Hyperlink"/>
          </w:rPr>
          <w:t>214.110</w:t>
        </w:r>
        <w:r>
          <w:rPr>
            <w:rFonts w:asciiTheme="minorHAnsi" w:eastAsiaTheme="minorEastAsia" w:hAnsiTheme="minorHAnsi" w:cstheme="minorBidi"/>
            <w:kern w:val="2"/>
            <w:sz w:val="24"/>
            <w:szCs w:val="24"/>
            <w14:ligatures w14:val="standardContextual"/>
          </w:rPr>
          <w:tab/>
        </w:r>
        <w:r w:rsidRPr="00B31C02">
          <w:rPr>
            <w:rStyle w:val="Hyperlink"/>
          </w:rPr>
          <w:t>Services "Incident To" an FQHC Core Service Encounter</w:t>
        </w:r>
      </w:hyperlink>
    </w:p>
    <w:p w14:paraId="64E01E9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8" w:history="1">
        <w:r w:rsidRPr="00B31C02">
          <w:rPr>
            <w:rStyle w:val="Hyperlink"/>
          </w:rPr>
          <w:t>214.111</w:t>
        </w:r>
        <w:r>
          <w:rPr>
            <w:rFonts w:asciiTheme="minorHAnsi" w:eastAsiaTheme="minorEastAsia" w:hAnsiTheme="minorHAnsi" w:cstheme="minorBidi"/>
            <w:kern w:val="2"/>
            <w:sz w:val="24"/>
            <w:szCs w:val="24"/>
            <w14:ligatures w14:val="standardContextual"/>
          </w:rPr>
          <w:tab/>
        </w:r>
        <w:r w:rsidRPr="00B31C02">
          <w:rPr>
            <w:rStyle w:val="Hyperlink"/>
          </w:rPr>
          <w:t>Ancillary Services “Incident To” Core Service Encounters</w:t>
        </w:r>
      </w:hyperlink>
    </w:p>
    <w:p w14:paraId="0502B6C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19" w:history="1">
        <w:r w:rsidRPr="00B31C02">
          <w:rPr>
            <w:rStyle w:val="Hyperlink"/>
          </w:rPr>
          <w:t>214.112</w:t>
        </w:r>
        <w:r>
          <w:rPr>
            <w:rFonts w:asciiTheme="minorHAnsi" w:eastAsiaTheme="minorEastAsia" w:hAnsiTheme="minorHAnsi" w:cstheme="minorBidi"/>
            <w:kern w:val="2"/>
            <w:sz w:val="24"/>
            <w:szCs w:val="24"/>
            <w14:ligatures w14:val="standardContextual"/>
          </w:rPr>
          <w:tab/>
        </w:r>
        <w:r w:rsidRPr="00B31C02">
          <w:rPr>
            <w:rStyle w:val="Hyperlink"/>
          </w:rPr>
          <w:t>Specimen Handling and Collection</w:t>
        </w:r>
      </w:hyperlink>
    </w:p>
    <w:p w14:paraId="542B40BE"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0" w:history="1">
        <w:r w:rsidRPr="00B31C02">
          <w:rPr>
            <w:rStyle w:val="Hyperlink"/>
          </w:rPr>
          <w:t>214.113</w:t>
        </w:r>
        <w:r>
          <w:rPr>
            <w:rFonts w:asciiTheme="minorHAnsi" w:eastAsiaTheme="minorEastAsia" w:hAnsiTheme="minorHAnsi" w:cstheme="minorBidi"/>
            <w:kern w:val="2"/>
            <w:sz w:val="24"/>
            <w:szCs w:val="24"/>
            <w14:ligatures w14:val="standardContextual"/>
          </w:rPr>
          <w:tab/>
        </w:r>
        <w:r w:rsidRPr="00B31C02">
          <w:rPr>
            <w:rStyle w:val="Hyperlink"/>
          </w:rPr>
          <w:t>Vaccines for Children (VFC) Program Immunizations “Incident To” Core Service Encounters</w:t>
        </w:r>
      </w:hyperlink>
    </w:p>
    <w:p w14:paraId="1A5F9F4E"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1" w:history="1">
        <w:r w:rsidRPr="00B31C02">
          <w:rPr>
            <w:rStyle w:val="Hyperlink"/>
          </w:rPr>
          <w:t>214.200</w:t>
        </w:r>
        <w:r>
          <w:rPr>
            <w:rFonts w:asciiTheme="minorHAnsi" w:eastAsiaTheme="minorEastAsia" w:hAnsiTheme="minorHAnsi" w:cstheme="minorBidi"/>
            <w:kern w:val="2"/>
            <w:sz w:val="24"/>
            <w:szCs w:val="24"/>
            <w14:ligatures w14:val="standardContextual"/>
          </w:rPr>
          <w:tab/>
        </w:r>
        <w:r w:rsidRPr="00B31C02">
          <w:rPr>
            <w:rStyle w:val="Hyperlink"/>
          </w:rPr>
          <w:t>Definition of an FQHC "Other Ambulatory Services" Encounter</w:t>
        </w:r>
      </w:hyperlink>
    </w:p>
    <w:p w14:paraId="616F247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2" w:history="1">
        <w:r w:rsidRPr="00B31C02">
          <w:rPr>
            <w:rStyle w:val="Hyperlink"/>
          </w:rPr>
          <w:t>215.000</w:t>
        </w:r>
        <w:r>
          <w:rPr>
            <w:rFonts w:asciiTheme="minorHAnsi" w:eastAsiaTheme="minorEastAsia" w:hAnsiTheme="minorHAnsi" w:cstheme="minorBidi"/>
            <w:kern w:val="2"/>
            <w:sz w:val="24"/>
            <w:szCs w:val="24"/>
            <w14:ligatures w14:val="standardContextual"/>
          </w:rPr>
          <w:tab/>
        </w:r>
        <w:r w:rsidRPr="00B31C02">
          <w:rPr>
            <w:rStyle w:val="Hyperlink"/>
          </w:rPr>
          <w:t>FQHC Obstetric and Gynecologic Encounters</w:t>
        </w:r>
      </w:hyperlink>
    </w:p>
    <w:p w14:paraId="7FD7AF3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3" w:history="1">
        <w:r w:rsidRPr="00B31C02">
          <w:rPr>
            <w:rStyle w:val="Hyperlink"/>
          </w:rPr>
          <w:t>216.000</w:t>
        </w:r>
        <w:r>
          <w:rPr>
            <w:rFonts w:asciiTheme="minorHAnsi" w:eastAsiaTheme="minorEastAsia" w:hAnsiTheme="minorHAnsi" w:cstheme="minorBidi"/>
            <w:kern w:val="2"/>
            <w:sz w:val="24"/>
            <w:szCs w:val="24"/>
            <w14:ligatures w14:val="standardContextual"/>
          </w:rPr>
          <w:tab/>
        </w:r>
        <w:r w:rsidRPr="00B31C02">
          <w:rPr>
            <w:rStyle w:val="Hyperlink"/>
          </w:rPr>
          <w:t>Family Planning Encounters and Ancillary Services</w:t>
        </w:r>
      </w:hyperlink>
    </w:p>
    <w:p w14:paraId="106AC39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4" w:history="1">
        <w:r w:rsidRPr="00B31C02">
          <w:rPr>
            <w:rStyle w:val="Hyperlink"/>
          </w:rPr>
          <w:t>216.100</w:t>
        </w:r>
        <w:r>
          <w:rPr>
            <w:rFonts w:asciiTheme="minorHAnsi" w:eastAsiaTheme="minorEastAsia" w:hAnsiTheme="minorHAnsi" w:cstheme="minorBidi"/>
            <w:kern w:val="2"/>
            <w:sz w:val="24"/>
            <w:szCs w:val="24"/>
            <w14:ligatures w14:val="standardContextual"/>
          </w:rPr>
          <w:tab/>
        </w:r>
        <w:r w:rsidRPr="00B31C02">
          <w:rPr>
            <w:rStyle w:val="Hyperlink"/>
          </w:rPr>
          <w:t>Family Planning Visits</w:t>
        </w:r>
      </w:hyperlink>
    </w:p>
    <w:p w14:paraId="6ADDC786"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5" w:history="1">
        <w:r w:rsidRPr="00B31C02">
          <w:rPr>
            <w:rStyle w:val="Hyperlink"/>
          </w:rPr>
          <w:t>216.110</w:t>
        </w:r>
        <w:r>
          <w:rPr>
            <w:rFonts w:asciiTheme="minorHAnsi" w:eastAsiaTheme="minorEastAsia" w:hAnsiTheme="minorHAnsi" w:cstheme="minorBidi"/>
            <w:kern w:val="2"/>
            <w:sz w:val="24"/>
            <w:szCs w:val="24"/>
            <w14:ligatures w14:val="standardContextual"/>
          </w:rPr>
          <w:tab/>
        </w:r>
        <w:r w:rsidRPr="00B31C02">
          <w:rPr>
            <w:rStyle w:val="Hyperlink"/>
          </w:rPr>
          <w:t>Basic Family Planning Visit</w:t>
        </w:r>
      </w:hyperlink>
    </w:p>
    <w:p w14:paraId="593C59D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6" w:history="1">
        <w:r w:rsidRPr="00B31C02">
          <w:rPr>
            <w:rStyle w:val="Hyperlink"/>
          </w:rPr>
          <w:t>216.120</w:t>
        </w:r>
        <w:r>
          <w:rPr>
            <w:rFonts w:asciiTheme="minorHAnsi" w:eastAsiaTheme="minorEastAsia" w:hAnsiTheme="minorHAnsi" w:cstheme="minorBidi"/>
            <w:kern w:val="2"/>
            <w:sz w:val="24"/>
            <w:szCs w:val="24"/>
            <w14:ligatures w14:val="standardContextual"/>
          </w:rPr>
          <w:tab/>
        </w:r>
        <w:r w:rsidRPr="00B31C02">
          <w:rPr>
            <w:rStyle w:val="Hyperlink"/>
          </w:rPr>
          <w:t>Periodic Family Planning Visit</w:t>
        </w:r>
      </w:hyperlink>
    </w:p>
    <w:p w14:paraId="7B4E5D6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7" w:history="1">
        <w:r w:rsidRPr="00B31C02">
          <w:rPr>
            <w:rStyle w:val="Hyperlink"/>
          </w:rPr>
          <w:t>216.130</w:t>
        </w:r>
        <w:r>
          <w:rPr>
            <w:rFonts w:asciiTheme="minorHAnsi" w:eastAsiaTheme="minorEastAsia" w:hAnsiTheme="minorHAnsi" w:cstheme="minorBidi"/>
            <w:kern w:val="2"/>
            <w:sz w:val="24"/>
            <w:szCs w:val="24"/>
            <w14:ligatures w14:val="standardContextual"/>
          </w:rPr>
          <w:tab/>
        </w:r>
        <w:r w:rsidRPr="00B31C02">
          <w:rPr>
            <w:rStyle w:val="Hyperlink"/>
          </w:rPr>
          <w:t>Post-Sterilization Visit</w:t>
        </w:r>
      </w:hyperlink>
    </w:p>
    <w:p w14:paraId="0861EDE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8" w:history="1">
        <w:r w:rsidRPr="00B31C02">
          <w:rPr>
            <w:rStyle w:val="Hyperlink"/>
          </w:rPr>
          <w:t>216.200</w:t>
        </w:r>
        <w:r>
          <w:rPr>
            <w:rFonts w:asciiTheme="minorHAnsi" w:eastAsiaTheme="minorEastAsia" w:hAnsiTheme="minorHAnsi" w:cstheme="minorBidi"/>
            <w:kern w:val="2"/>
            <w:sz w:val="24"/>
            <w:szCs w:val="24"/>
            <w14:ligatures w14:val="standardContextual"/>
          </w:rPr>
          <w:tab/>
        </w:r>
        <w:r w:rsidRPr="00B31C02">
          <w:rPr>
            <w:rStyle w:val="Hyperlink"/>
          </w:rPr>
          <w:t>Contraceptive Devices</w:t>
        </w:r>
      </w:hyperlink>
    </w:p>
    <w:p w14:paraId="2FF11E86"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29" w:history="1">
        <w:r w:rsidRPr="00B31C02">
          <w:rPr>
            <w:rStyle w:val="Hyperlink"/>
          </w:rPr>
          <w:t>216.300</w:t>
        </w:r>
        <w:r>
          <w:rPr>
            <w:rFonts w:asciiTheme="minorHAnsi" w:eastAsiaTheme="minorEastAsia" w:hAnsiTheme="minorHAnsi" w:cstheme="minorBidi"/>
            <w:kern w:val="2"/>
            <w:sz w:val="24"/>
            <w:szCs w:val="24"/>
            <w14:ligatures w14:val="standardContextual"/>
          </w:rPr>
          <w:tab/>
        </w:r>
        <w:r w:rsidRPr="00B31C02">
          <w:rPr>
            <w:rStyle w:val="Hyperlink"/>
          </w:rPr>
          <w:t>Other Contraceptives and Supplies</w:t>
        </w:r>
      </w:hyperlink>
    </w:p>
    <w:p w14:paraId="502CBF7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0" w:history="1">
        <w:r w:rsidRPr="00B31C02">
          <w:rPr>
            <w:rStyle w:val="Hyperlink"/>
          </w:rPr>
          <w:t>216.310</w:t>
        </w:r>
        <w:r>
          <w:rPr>
            <w:rFonts w:asciiTheme="minorHAnsi" w:eastAsiaTheme="minorEastAsia" w:hAnsiTheme="minorHAnsi" w:cstheme="minorBidi"/>
            <w:kern w:val="2"/>
            <w:sz w:val="24"/>
            <w:szCs w:val="24"/>
            <w14:ligatures w14:val="standardContextual"/>
          </w:rPr>
          <w:tab/>
        </w:r>
        <w:r w:rsidRPr="00B31C02">
          <w:rPr>
            <w:rStyle w:val="Hyperlink"/>
          </w:rPr>
          <w:t>Depo-Provera Injections</w:t>
        </w:r>
      </w:hyperlink>
    </w:p>
    <w:p w14:paraId="5FBA085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1" w:history="1">
        <w:r w:rsidRPr="00B31C02">
          <w:rPr>
            <w:rStyle w:val="Hyperlink"/>
          </w:rPr>
          <w:t>216.400</w:t>
        </w:r>
        <w:r>
          <w:rPr>
            <w:rFonts w:asciiTheme="minorHAnsi" w:eastAsiaTheme="minorEastAsia" w:hAnsiTheme="minorHAnsi" w:cstheme="minorBidi"/>
            <w:kern w:val="2"/>
            <w:sz w:val="24"/>
            <w:szCs w:val="24"/>
            <w14:ligatures w14:val="standardContextual"/>
          </w:rPr>
          <w:tab/>
        </w:r>
        <w:r w:rsidRPr="00B31C02">
          <w:rPr>
            <w:rStyle w:val="Hyperlink"/>
          </w:rPr>
          <w:t>Sterilizations</w:t>
        </w:r>
      </w:hyperlink>
    </w:p>
    <w:p w14:paraId="7EDE5F0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2" w:history="1">
        <w:r w:rsidRPr="00B31C02">
          <w:rPr>
            <w:rStyle w:val="Hyperlink"/>
          </w:rPr>
          <w:t>216.410</w:t>
        </w:r>
        <w:r>
          <w:rPr>
            <w:rFonts w:asciiTheme="minorHAnsi" w:eastAsiaTheme="minorEastAsia" w:hAnsiTheme="minorHAnsi" w:cstheme="minorBidi"/>
            <w:kern w:val="2"/>
            <w:sz w:val="24"/>
            <w:szCs w:val="24"/>
            <w14:ligatures w14:val="standardContextual"/>
          </w:rPr>
          <w:tab/>
        </w:r>
        <w:r w:rsidRPr="00B31C02">
          <w:rPr>
            <w:rStyle w:val="Hyperlink"/>
          </w:rPr>
          <w:t>Informed Consent to Sterilization</w:t>
        </w:r>
      </w:hyperlink>
    </w:p>
    <w:p w14:paraId="33F0413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3" w:history="1">
        <w:r w:rsidRPr="00B31C02">
          <w:rPr>
            <w:rStyle w:val="Hyperlink"/>
          </w:rPr>
          <w:t>217.000</w:t>
        </w:r>
        <w:r>
          <w:rPr>
            <w:rFonts w:asciiTheme="minorHAnsi" w:eastAsiaTheme="minorEastAsia" w:hAnsiTheme="minorHAnsi" w:cstheme="minorBidi"/>
            <w:kern w:val="2"/>
            <w:sz w:val="24"/>
            <w:szCs w:val="24"/>
            <w14:ligatures w14:val="standardContextual"/>
          </w:rPr>
          <w:tab/>
        </w:r>
        <w:r w:rsidRPr="00B31C02">
          <w:rPr>
            <w:rStyle w:val="Hyperlink"/>
          </w:rPr>
          <w:t>Non-Covered Services</w:t>
        </w:r>
      </w:hyperlink>
    </w:p>
    <w:p w14:paraId="2302EBA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4" w:history="1">
        <w:r w:rsidRPr="00B31C02">
          <w:rPr>
            <w:rStyle w:val="Hyperlink"/>
          </w:rPr>
          <w:t>220.000</w:t>
        </w:r>
        <w:r>
          <w:rPr>
            <w:rFonts w:asciiTheme="minorHAnsi" w:eastAsiaTheme="minorEastAsia" w:hAnsiTheme="minorHAnsi" w:cstheme="minorBidi"/>
            <w:kern w:val="2"/>
            <w:sz w:val="24"/>
            <w:szCs w:val="24"/>
            <w14:ligatures w14:val="standardContextual"/>
          </w:rPr>
          <w:tab/>
        </w:r>
        <w:r w:rsidRPr="00B31C02">
          <w:rPr>
            <w:rStyle w:val="Hyperlink"/>
          </w:rPr>
          <w:t>Benefit Limits</w:t>
        </w:r>
      </w:hyperlink>
    </w:p>
    <w:p w14:paraId="4217CF4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5" w:history="1">
        <w:r w:rsidRPr="00B31C02">
          <w:rPr>
            <w:rStyle w:val="Hyperlink"/>
          </w:rPr>
          <w:t>220.100</w:t>
        </w:r>
        <w:r>
          <w:rPr>
            <w:rFonts w:asciiTheme="minorHAnsi" w:eastAsiaTheme="minorEastAsia" w:hAnsiTheme="minorHAnsi" w:cstheme="minorBidi"/>
            <w:kern w:val="2"/>
            <w:sz w:val="24"/>
            <w:szCs w:val="24"/>
            <w14:ligatures w14:val="standardContextual"/>
          </w:rPr>
          <w:tab/>
        </w:r>
        <w:r w:rsidRPr="00B31C02">
          <w:rPr>
            <w:rStyle w:val="Hyperlink"/>
          </w:rPr>
          <w:t>Family Planning Benefit Limits</w:t>
        </w:r>
      </w:hyperlink>
    </w:p>
    <w:p w14:paraId="267857B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6" w:history="1">
        <w:r w:rsidRPr="00B31C02">
          <w:rPr>
            <w:rStyle w:val="Hyperlink"/>
          </w:rPr>
          <w:t>220.110</w:t>
        </w:r>
        <w:r>
          <w:rPr>
            <w:rFonts w:asciiTheme="minorHAnsi" w:eastAsiaTheme="minorEastAsia" w:hAnsiTheme="minorHAnsi" w:cstheme="minorBidi"/>
            <w:kern w:val="2"/>
            <w:sz w:val="24"/>
            <w:szCs w:val="24"/>
            <w14:ligatures w14:val="standardContextual"/>
          </w:rPr>
          <w:tab/>
        </w:r>
        <w:r w:rsidRPr="00B31C02">
          <w:rPr>
            <w:rStyle w:val="Hyperlink"/>
          </w:rPr>
          <w:t>Family Planning Visit Benefit Limit</w:t>
        </w:r>
      </w:hyperlink>
    </w:p>
    <w:p w14:paraId="71CA282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7" w:history="1">
        <w:r w:rsidRPr="00B31C02">
          <w:rPr>
            <w:rStyle w:val="Hyperlink"/>
          </w:rPr>
          <w:t>220.120</w:t>
        </w:r>
        <w:r>
          <w:rPr>
            <w:rFonts w:asciiTheme="minorHAnsi" w:eastAsiaTheme="minorEastAsia" w:hAnsiTheme="minorHAnsi" w:cstheme="minorBidi"/>
            <w:kern w:val="2"/>
            <w:sz w:val="24"/>
            <w:szCs w:val="24"/>
            <w14:ligatures w14:val="standardContextual"/>
          </w:rPr>
          <w:tab/>
        </w:r>
        <w:r w:rsidRPr="00B31C02">
          <w:rPr>
            <w:rStyle w:val="Hyperlink"/>
          </w:rPr>
          <w:t>Implantable Contraceptive Capsules Benefit Limit</w:t>
        </w:r>
      </w:hyperlink>
    </w:p>
    <w:p w14:paraId="73723E3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8" w:history="1">
        <w:r w:rsidRPr="00B31C02">
          <w:rPr>
            <w:rStyle w:val="Hyperlink"/>
          </w:rPr>
          <w:t>220.130</w:t>
        </w:r>
        <w:r>
          <w:rPr>
            <w:rFonts w:asciiTheme="minorHAnsi" w:eastAsiaTheme="minorEastAsia" w:hAnsiTheme="minorHAnsi" w:cstheme="minorBidi"/>
            <w:kern w:val="2"/>
            <w:sz w:val="24"/>
            <w:szCs w:val="24"/>
            <w14:ligatures w14:val="standardContextual"/>
          </w:rPr>
          <w:tab/>
        </w:r>
        <w:r w:rsidRPr="00B31C02">
          <w:rPr>
            <w:rStyle w:val="Hyperlink"/>
          </w:rPr>
          <w:t>Intrauterine Device (IUD)</w:t>
        </w:r>
      </w:hyperlink>
    </w:p>
    <w:p w14:paraId="00CAE30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39" w:history="1">
        <w:r w:rsidRPr="00B31C02">
          <w:rPr>
            <w:rStyle w:val="Hyperlink"/>
          </w:rPr>
          <w:t>220.140</w:t>
        </w:r>
        <w:r>
          <w:rPr>
            <w:rFonts w:asciiTheme="minorHAnsi" w:eastAsiaTheme="minorEastAsia" w:hAnsiTheme="minorHAnsi" w:cstheme="minorBidi"/>
            <w:kern w:val="2"/>
            <w:sz w:val="24"/>
            <w:szCs w:val="24"/>
            <w14:ligatures w14:val="standardContextual"/>
          </w:rPr>
          <w:tab/>
        </w:r>
        <w:r w:rsidRPr="00B31C02">
          <w:rPr>
            <w:rStyle w:val="Hyperlink"/>
          </w:rPr>
          <w:t>Sterilization</w:t>
        </w:r>
      </w:hyperlink>
    </w:p>
    <w:p w14:paraId="0273A1C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0" w:history="1">
        <w:r w:rsidRPr="00B31C02">
          <w:rPr>
            <w:rStyle w:val="Hyperlink"/>
          </w:rPr>
          <w:t>220.150</w:t>
        </w:r>
        <w:r>
          <w:rPr>
            <w:rFonts w:asciiTheme="minorHAnsi" w:eastAsiaTheme="minorEastAsia" w:hAnsiTheme="minorHAnsi" w:cstheme="minorBidi"/>
            <w:kern w:val="2"/>
            <w:sz w:val="24"/>
            <w:szCs w:val="24"/>
            <w14:ligatures w14:val="standardContextual"/>
          </w:rPr>
          <w:tab/>
        </w:r>
        <w:r w:rsidRPr="00B31C02">
          <w:rPr>
            <w:rStyle w:val="Hyperlink"/>
          </w:rPr>
          <w:t>Reserved</w:t>
        </w:r>
      </w:hyperlink>
    </w:p>
    <w:p w14:paraId="29118E1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1" w:history="1">
        <w:r w:rsidRPr="00B31C02">
          <w:rPr>
            <w:rStyle w:val="Hyperlink"/>
          </w:rPr>
          <w:t>220.200</w:t>
        </w:r>
        <w:r>
          <w:rPr>
            <w:rFonts w:asciiTheme="minorHAnsi" w:eastAsiaTheme="minorEastAsia" w:hAnsiTheme="minorHAnsi" w:cstheme="minorBidi"/>
            <w:kern w:val="2"/>
            <w:sz w:val="24"/>
            <w:szCs w:val="24"/>
            <w14:ligatures w14:val="standardContextual"/>
          </w:rPr>
          <w:tab/>
        </w:r>
        <w:r w:rsidRPr="00B31C02">
          <w:rPr>
            <w:rStyle w:val="Hyperlink"/>
          </w:rPr>
          <w:t>Extension of Benefits</w:t>
        </w:r>
      </w:hyperlink>
    </w:p>
    <w:p w14:paraId="2185861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2" w:history="1">
        <w:r w:rsidRPr="00B31C02">
          <w:rPr>
            <w:rStyle w:val="Hyperlink"/>
          </w:rPr>
          <w:t>220.201</w:t>
        </w:r>
        <w:r>
          <w:rPr>
            <w:rFonts w:asciiTheme="minorHAnsi" w:eastAsiaTheme="minorEastAsia" w:hAnsiTheme="minorHAnsi" w:cstheme="minorBidi"/>
            <w:kern w:val="2"/>
            <w:sz w:val="24"/>
            <w:szCs w:val="24"/>
            <w14:ligatures w14:val="standardContextual"/>
          </w:rPr>
          <w:tab/>
        </w:r>
        <w:r w:rsidRPr="00B31C02">
          <w:rPr>
            <w:rStyle w:val="Hyperlink"/>
          </w:rPr>
          <w:t>Benefit Extension Requests</w:t>
        </w:r>
      </w:hyperlink>
    </w:p>
    <w:p w14:paraId="1A7647E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3" w:history="1">
        <w:r w:rsidRPr="00B31C02">
          <w:rPr>
            <w:rStyle w:val="Hyperlink"/>
          </w:rPr>
          <w:t>220.202</w:t>
        </w:r>
        <w:r>
          <w:rPr>
            <w:rFonts w:asciiTheme="minorHAnsi" w:eastAsiaTheme="minorEastAsia" w:hAnsiTheme="minorHAnsi" w:cstheme="minorBidi"/>
            <w:kern w:val="2"/>
            <w:sz w:val="24"/>
            <w:szCs w:val="24"/>
            <w14:ligatures w14:val="standardContextual"/>
          </w:rPr>
          <w:tab/>
        </w:r>
        <w:r w:rsidRPr="00B31C02">
          <w:rPr>
            <w:rStyle w:val="Hyperlink"/>
          </w:rPr>
          <w:t>Request for Extension of Benefits for Clinical, Outpatient, Diagnostic Laboratory, and Radiology/Other Services,  Form DMS-671</w:t>
        </w:r>
      </w:hyperlink>
    </w:p>
    <w:p w14:paraId="46B26BA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4" w:history="1">
        <w:r w:rsidRPr="00B31C02">
          <w:rPr>
            <w:rStyle w:val="Hyperlink"/>
          </w:rPr>
          <w:t>220.203</w:t>
        </w:r>
        <w:r>
          <w:rPr>
            <w:rFonts w:asciiTheme="minorHAnsi" w:eastAsiaTheme="minorEastAsia" w:hAnsiTheme="minorHAnsi" w:cstheme="minorBidi"/>
            <w:kern w:val="2"/>
            <w:sz w:val="24"/>
            <w:szCs w:val="24"/>
            <w14:ligatures w14:val="standardContextual"/>
          </w:rPr>
          <w:tab/>
        </w:r>
        <w:r w:rsidRPr="00B31C02">
          <w:rPr>
            <w:rStyle w:val="Hyperlink"/>
          </w:rPr>
          <w:t>Documentation Requirements</w:t>
        </w:r>
      </w:hyperlink>
    </w:p>
    <w:p w14:paraId="45D90DB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5" w:history="1">
        <w:r w:rsidRPr="00B31C02">
          <w:rPr>
            <w:rStyle w:val="Hyperlink"/>
          </w:rPr>
          <w:t>220.204</w:t>
        </w:r>
        <w:r>
          <w:rPr>
            <w:rFonts w:asciiTheme="minorHAnsi" w:eastAsiaTheme="minorEastAsia" w:hAnsiTheme="minorHAnsi" w:cstheme="minorBidi"/>
            <w:kern w:val="2"/>
            <w:sz w:val="24"/>
            <w:szCs w:val="24"/>
            <w14:ligatures w14:val="standardContextual"/>
          </w:rPr>
          <w:tab/>
        </w:r>
        <w:r w:rsidRPr="00B31C02">
          <w:rPr>
            <w:rStyle w:val="Hyperlink"/>
          </w:rPr>
          <w:t>Provider Notification of Benefit Extension Determinations</w:t>
        </w:r>
      </w:hyperlink>
    </w:p>
    <w:p w14:paraId="32EF38F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6" w:history="1">
        <w:r w:rsidRPr="00B31C02">
          <w:rPr>
            <w:rStyle w:val="Hyperlink"/>
          </w:rPr>
          <w:t>220.205</w:t>
        </w:r>
        <w:r>
          <w:rPr>
            <w:rFonts w:asciiTheme="minorHAnsi" w:eastAsiaTheme="minorEastAsia" w:hAnsiTheme="minorHAnsi" w:cstheme="minorBidi"/>
            <w:kern w:val="2"/>
            <w:sz w:val="24"/>
            <w:szCs w:val="24"/>
            <w14:ligatures w14:val="standardContextual"/>
          </w:rPr>
          <w:tab/>
        </w:r>
        <w:r w:rsidRPr="00B31C02">
          <w:rPr>
            <w:rStyle w:val="Hyperlink"/>
          </w:rPr>
          <w:t>Administrative Reconsideration and Appeals</w:t>
        </w:r>
      </w:hyperlink>
    </w:p>
    <w:p w14:paraId="1E69F4CA"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7" w:history="1">
        <w:r w:rsidRPr="00B31C02">
          <w:rPr>
            <w:rStyle w:val="Hyperlink"/>
          </w:rPr>
          <w:t>220.210</w:t>
        </w:r>
        <w:r>
          <w:rPr>
            <w:rFonts w:asciiTheme="minorHAnsi" w:eastAsiaTheme="minorEastAsia" w:hAnsiTheme="minorHAnsi" w:cstheme="minorBidi"/>
            <w:kern w:val="2"/>
            <w:sz w:val="24"/>
            <w:szCs w:val="24"/>
            <w14:ligatures w14:val="standardContextual"/>
          </w:rPr>
          <w:tab/>
        </w:r>
        <w:r w:rsidRPr="00B31C02">
          <w:rPr>
            <w:rStyle w:val="Hyperlink"/>
          </w:rPr>
          <w:t>Reserved</w:t>
        </w:r>
      </w:hyperlink>
    </w:p>
    <w:p w14:paraId="61E0A9A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8" w:history="1">
        <w:r w:rsidRPr="00B31C02">
          <w:rPr>
            <w:rStyle w:val="Hyperlink"/>
          </w:rPr>
          <w:t>220.220</w:t>
        </w:r>
        <w:r>
          <w:rPr>
            <w:rFonts w:asciiTheme="minorHAnsi" w:eastAsiaTheme="minorEastAsia" w:hAnsiTheme="minorHAnsi" w:cstheme="minorBidi"/>
            <w:kern w:val="2"/>
            <w:sz w:val="24"/>
            <w:szCs w:val="24"/>
            <w14:ligatures w14:val="standardContextual"/>
          </w:rPr>
          <w:tab/>
        </w:r>
        <w:r w:rsidRPr="00B31C02">
          <w:rPr>
            <w:rStyle w:val="Hyperlink"/>
          </w:rPr>
          <w:t>Reserved</w:t>
        </w:r>
      </w:hyperlink>
    </w:p>
    <w:p w14:paraId="02D9FF7C"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49" w:history="1">
        <w:r w:rsidRPr="00B31C02">
          <w:rPr>
            <w:rStyle w:val="Hyperlink"/>
          </w:rPr>
          <w:t>220.300</w:t>
        </w:r>
        <w:r>
          <w:rPr>
            <w:rFonts w:asciiTheme="minorHAnsi" w:eastAsiaTheme="minorEastAsia" w:hAnsiTheme="minorHAnsi" w:cstheme="minorBidi"/>
            <w:kern w:val="2"/>
            <w:sz w:val="24"/>
            <w:szCs w:val="24"/>
            <w14:ligatures w14:val="standardContextual"/>
          </w:rPr>
          <w:tab/>
        </w:r>
        <w:r w:rsidRPr="00B31C02">
          <w:rPr>
            <w:rStyle w:val="Hyperlink"/>
          </w:rPr>
          <w:t>Benefit Limits for Other Ambulatory Services Encounters</w:t>
        </w:r>
      </w:hyperlink>
    </w:p>
    <w:p w14:paraId="002ADCEA" w14:textId="77777777" w:rsidR="00F02144" w:rsidRDefault="00F02144">
      <w:pPr>
        <w:pStyle w:val="TOC1"/>
        <w:rPr>
          <w:rFonts w:asciiTheme="minorHAnsi" w:eastAsiaTheme="minorEastAsia" w:hAnsiTheme="minorHAnsi" w:cstheme="minorBidi"/>
          <w:b w:val="0"/>
          <w:caps w:val="0"/>
          <w:color w:val="auto"/>
          <w:kern w:val="2"/>
          <w:sz w:val="24"/>
          <w:szCs w:val="24"/>
          <w14:ligatures w14:val="standardContextual"/>
        </w:rPr>
      </w:pPr>
      <w:hyperlink w:anchor="_Toc202162650" w:history="1">
        <w:r w:rsidRPr="00B31C02">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B31C02">
          <w:rPr>
            <w:rStyle w:val="Hyperlink"/>
          </w:rPr>
          <w:t>PRIOR AUTHORIZATION</w:t>
        </w:r>
      </w:hyperlink>
    </w:p>
    <w:p w14:paraId="0769BE94" w14:textId="77777777" w:rsidR="00F02144" w:rsidRDefault="00F02144">
      <w:pPr>
        <w:pStyle w:val="TOC1"/>
        <w:rPr>
          <w:rFonts w:asciiTheme="minorHAnsi" w:eastAsiaTheme="minorEastAsia" w:hAnsiTheme="minorHAnsi" w:cstheme="minorBidi"/>
          <w:b w:val="0"/>
          <w:caps w:val="0"/>
          <w:color w:val="auto"/>
          <w:kern w:val="2"/>
          <w:sz w:val="24"/>
          <w:szCs w:val="24"/>
          <w14:ligatures w14:val="standardContextual"/>
        </w:rPr>
      </w:pPr>
      <w:hyperlink w:anchor="_Toc202162651" w:history="1">
        <w:r w:rsidRPr="00B31C02">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B31C02">
          <w:rPr>
            <w:rStyle w:val="Hyperlink"/>
          </w:rPr>
          <w:t>REIMBURSEMENT</w:t>
        </w:r>
      </w:hyperlink>
    </w:p>
    <w:p w14:paraId="7EC0D566"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2" w:history="1">
        <w:r w:rsidRPr="00B31C02">
          <w:rPr>
            <w:rStyle w:val="Hyperlink"/>
          </w:rPr>
          <w:t>251.000</w:t>
        </w:r>
        <w:r>
          <w:rPr>
            <w:rFonts w:asciiTheme="minorHAnsi" w:eastAsiaTheme="minorEastAsia" w:hAnsiTheme="minorHAnsi" w:cstheme="minorBidi"/>
            <w:kern w:val="2"/>
            <w:sz w:val="24"/>
            <w:szCs w:val="24"/>
            <w14:ligatures w14:val="standardContextual"/>
          </w:rPr>
          <w:tab/>
        </w:r>
        <w:r w:rsidRPr="00B31C02">
          <w:rPr>
            <w:rStyle w:val="Hyperlink"/>
          </w:rPr>
          <w:t>Reimbursement Methodology for Dates of Service before January 1, 2001</w:t>
        </w:r>
      </w:hyperlink>
    </w:p>
    <w:p w14:paraId="46C7AF5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3" w:history="1">
        <w:r w:rsidRPr="00B31C02">
          <w:rPr>
            <w:rStyle w:val="Hyperlink"/>
          </w:rPr>
          <w:t>251.100</w:t>
        </w:r>
        <w:r>
          <w:rPr>
            <w:rFonts w:asciiTheme="minorHAnsi" w:eastAsiaTheme="minorEastAsia" w:hAnsiTheme="minorHAnsi" w:cstheme="minorBidi"/>
            <w:kern w:val="2"/>
            <w:sz w:val="24"/>
            <w:szCs w:val="24"/>
            <w14:ligatures w14:val="standardContextual"/>
          </w:rPr>
          <w:tab/>
        </w:r>
        <w:r w:rsidRPr="00B31C02">
          <w:rPr>
            <w:rStyle w:val="Hyperlink"/>
          </w:rPr>
          <w:t>Cost Report Form CMS-222-92 (formerly HCFA-222-92)</w:t>
        </w:r>
      </w:hyperlink>
    </w:p>
    <w:p w14:paraId="759F4AF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4" w:history="1">
        <w:r w:rsidRPr="00B31C02">
          <w:rPr>
            <w:rStyle w:val="Hyperlink"/>
          </w:rPr>
          <w:t>251.200</w:t>
        </w:r>
        <w:r>
          <w:rPr>
            <w:rFonts w:asciiTheme="minorHAnsi" w:eastAsiaTheme="minorEastAsia" w:hAnsiTheme="minorHAnsi" w:cstheme="minorBidi"/>
            <w:kern w:val="2"/>
            <w:sz w:val="24"/>
            <w:szCs w:val="24"/>
            <w14:ligatures w14:val="standardContextual"/>
          </w:rPr>
          <w:tab/>
        </w:r>
        <w:r w:rsidRPr="00B31C02">
          <w:rPr>
            <w:rStyle w:val="Hyperlink"/>
          </w:rPr>
          <w:t>Adjustments to the Cost Report</w:t>
        </w:r>
      </w:hyperlink>
    </w:p>
    <w:p w14:paraId="7B0AD651"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5" w:history="1">
        <w:r w:rsidRPr="00B31C02">
          <w:rPr>
            <w:rStyle w:val="Hyperlink"/>
          </w:rPr>
          <w:t>251.300</w:t>
        </w:r>
        <w:r>
          <w:rPr>
            <w:rFonts w:asciiTheme="minorHAnsi" w:eastAsiaTheme="minorEastAsia" w:hAnsiTheme="minorHAnsi" w:cstheme="minorBidi"/>
            <w:kern w:val="2"/>
            <w:sz w:val="24"/>
            <w:szCs w:val="24"/>
            <w14:ligatures w14:val="standardContextual"/>
          </w:rPr>
          <w:tab/>
        </w:r>
        <w:r w:rsidRPr="00B31C02">
          <w:rPr>
            <w:rStyle w:val="Hyperlink"/>
          </w:rPr>
          <w:t>Calculation of Encounter Cost and Cost Settlement</w:t>
        </w:r>
      </w:hyperlink>
    </w:p>
    <w:p w14:paraId="69CCC87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6" w:history="1">
        <w:r w:rsidRPr="00B31C02">
          <w:rPr>
            <w:rStyle w:val="Hyperlink"/>
          </w:rPr>
          <w:t>251.400</w:t>
        </w:r>
        <w:r>
          <w:rPr>
            <w:rFonts w:asciiTheme="minorHAnsi" w:eastAsiaTheme="minorEastAsia" w:hAnsiTheme="minorHAnsi" w:cstheme="minorBidi"/>
            <w:kern w:val="2"/>
            <w:sz w:val="24"/>
            <w:szCs w:val="24"/>
            <w14:ligatures w14:val="standardContextual"/>
          </w:rPr>
          <w:tab/>
        </w:r>
        <w:r w:rsidRPr="00B31C02">
          <w:rPr>
            <w:rStyle w:val="Hyperlink"/>
          </w:rPr>
          <w:t>Cost Settling for Other Ambulatory Services Encounters (for Dates of Service before January 1, 2001)</w:t>
        </w:r>
      </w:hyperlink>
    </w:p>
    <w:p w14:paraId="7032DAB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7" w:history="1">
        <w:r w:rsidRPr="00B31C02">
          <w:rPr>
            <w:rStyle w:val="Hyperlink"/>
          </w:rPr>
          <w:t>251.500</w:t>
        </w:r>
        <w:r>
          <w:rPr>
            <w:rFonts w:asciiTheme="minorHAnsi" w:eastAsiaTheme="minorEastAsia" w:hAnsiTheme="minorHAnsi" w:cstheme="minorBidi"/>
            <w:kern w:val="2"/>
            <w:sz w:val="24"/>
            <w:szCs w:val="24"/>
            <w14:ligatures w14:val="standardContextual"/>
          </w:rPr>
          <w:tab/>
        </w:r>
        <w:r w:rsidRPr="00B31C02">
          <w:rPr>
            <w:rStyle w:val="Hyperlink"/>
          </w:rPr>
          <w:t>Cost Settling for Services Reported by CPT or HCPCS Procedure Code Other Than the FQHC Encounter Code (for Dates of Service before January 1, 2001)</w:t>
        </w:r>
      </w:hyperlink>
    </w:p>
    <w:p w14:paraId="69FC75E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8" w:history="1">
        <w:r w:rsidRPr="00B31C02">
          <w:rPr>
            <w:rStyle w:val="Hyperlink"/>
          </w:rPr>
          <w:t>251.510</w:t>
        </w:r>
        <w:r>
          <w:rPr>
            <w:rFonts w:asciiTheme="minorHAnsi" w:eastAsiaTheme="minorEastAsia" w:hAnsiTheme="minorHAnsi" w:cstheme="minorBidi"/>
            <w:kern w:val="2"/>
            <w:sz w:val="24"/>
            <w:szCs w:val="24"/>
            <w14:ligatures w14:val="standardContextual"/>
          </w:rPr>
          <w:tab/>
        </w:r>
        <w:r w:rsidRPr="00B31C02">
          <w:rPr>
            <w:rStyle w:val="Hyperlink"/>
          </w:rPr>
          <w:t>Cost Settling for Vaccines for Children (VFC) Program Immunization Administration (for Dates of Service before January 1, 2001)</w:t>
        </w:r>
      </w:hyperlink>
    </w:p>
    <w:p w14:paraId="154391A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59" w:history="1">
        <w:r w:rsidRPr="00B31C02">
          <w:rPr>
            <w:rStyle w:val="Hyperlink"/>
          </w:rPr>
          <w:t>252.000</w:t>
        </w:r>
        <w:r>
          <w:rPr>
            <w:rFonts w:asciiTheme="minorHAnsi" w:eastAsiaTheme="minorEastAsia" w:hAnsiTheme="minorHAnsi" w:cstheme="minorBidi"/>
            <w:kern w:val="2"/>
            <w:sz w:val="24"/>
            <w:szCs w:val="24"/>
            <w14:ligatures w14:val="standardContextual"/>
          </w:rPr>
          <w:tab/>
        </w:r>
        <w:r w:rsidRPr="00B31C02">
          <w:rPr>
            <w:rStyle w:val="Hyperlink"/>
          </w:rPr>
          <w:t>Reimbursement Methodologies for Dates of Service on and after January 1, 2001</w:t>
        </w:r>
      </w:hyperlink>
    </w:p>
    <w:p w14:paraId="5C37AE1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0" w:history="1">
        <w:r w:rsidRPr="00B31C02">
          <w:rPr>
            <w:rStyle w:val="Hyperlink"/>
          </w:rPr>
          <w:t>252.100</w:t>
        </w:r>
        <w:r>
          <w:rPr>
            <w:rFonts w:asciiTheme="minorHAnsi" w:eastAsiaTheme="minorEastAsia" w:hAnsiTheme="minorHAnsi" w:cstheme="minorBidi"/>
            <w:kern w:val="2"/>
            <w:sz w:val="24"/>
            <w:szCs w:val="24"/>
            <w14:ligatures w14:val="standardContextual"/>
          </w:rPr>
          <w:tab/>
        </w:r>
        <w:r w:rsidRPr="00B31C02">
          <w:rPr>
            <w:rStyle w:val="Hyperlink"/>
          </w:rPr>
          <w:t>Prospective Payment System (PPS) Methodology for Dates of Service on and after January 1, 2001</w:t>
        </w:r>
      </w:hyperlink>
    </w:p>
    <w:p w14:paraId="5F1EEDA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1" w:history="1">
        <w:r w:rsidRPr="00B31C02">
          <w:rPr>
            <w:rStyle w:val="Hyperlink"/>
          </w:rPr>
          <w:t>252.110</w:t>
        </w:r>
        <w:r>
          <w:rPr>
            <w:rFonts w:asciiTheme="minorHAnsi" w:eastAsiaTheme="minorEastAsia" w:hAnsiTheme="minorHAnsi" w:cstheme="minorBidi"/>
            <w:kern w:val="2"/>
            <w:sz w:val="24"/>
            <w:szCs w:val="24"/>
            <w14:ligatures w14:val="standardContextual"/>
          </w:rPr>
          <w:tab/>
        </w:r>
        <w:r w:rsidRPr="00B31C02">
          <w:rPr>
            <w:rStyle w:val="Hyperlink"/>
          </w:rPr>
          <w:t>Calculation of PPS Per Encounter Rate</w:t>
        </w:r>
      </w:hyperlink>
    </w:p>
    <w:p w14:paraId="408F906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2" w:history="1">
        <w:r w:rsidRPr="00B31C02">
          <w:rPr>
            <w:rStyle w:val="Hyperlink"/>
          </w:rPr>
          <w:t>252.120</w:t>
        </w:r>
        <w:r>
          <w:rPr>
            <w:rFonts w:asciiTheme="minorHAnsi" w:eastAsiaTheme="minorEastAsia" w:hAnsiTheme="minorHAnsi" w:cstheme="minorBidi"/>
            <w:kern w:val="2"/>
            <w:sz w:val="24"/>
            <w:szCs w:val="24"/>
            <w14:ligatures w14:val="standardContextual"/>
          </w:rPr>
          <w:tab/>
        </w:r>
        <w:r w:rsidRPr="00B31C02">
          <w:rPr>
            <w:rStyle w:val="Hyperlink"/>
          </w:rPr>
          <w:t>Rate Adjustments for Scope of Services Changes</w:t>
        </w:r>
      </w:hyperlink>
    </w:p>
    <w:p w14:paraId="5EA2D75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3" w:history="1">
        <w:r w:rsidRPr="00B31C02">
          <w:rPr>
            <w:rStyle w:val="Hyperlink"/>
          </w:rPr>
          <w:t>252.130</w:t>
        </w:r>
        <w:r>
          <w:rPr>
            <w:rFonts w:asciiTheme="minorHAnsi" w:eastAsiaTheme="minorEastAsia" w:hAnsiTheme="minorHAnsi" w:cstheme="minorBidi"/>
            <w:kern w:val="2"/>
            <w:sz w:val="24"/>
            <w:szCs w:val="24"/>
            <w14:ligatures w14:val="standardContextual"/>
          </w:rPr>
          <w:tab/>
        </w:r>
        <w:r w:rsidRPr="00B31C02">
          <w:rPr>
            <w:rStyle w:val="Hyperlink"/>
          </w:rPr>
          <w:t>Rate Settling For Other Ambulatory Services Encounters</w:t>
        </w:r>
      </w:hyperlink>
    </w:p>
    <w:p w14:paraId="282C195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4" w:history="1">
        <w:r w:rsidRPr="00B31C02">
          <w:rPr>
            <w:rStyle w:val="Hyperlink"/>
          </w:rPr>
          <w:t>252.140</w:t>
        </w:r>
        <w:r>
          <w:rPr>
            <w:rFonts w:asciiTheme="minorHAnsi" w:eastAsiaTheme="minorEastAsia" w:hAnsiTheme="minorHAnsi" w:cstheme="minorBidi"/>
            <w:kern w:val="2"/>
            <w:sz w:val="24"/>
            <w:szCs w:val="24"/>
            <w14:ligatures w14:val="standardContextual"/>
          </w:rPr>
          <w:tab/>
        </w:r>
        <w:r w:rsidRPr="00B31C02">
          <w:rPr>
            <w:rStyle w:val="Hyperlink"/>
          </w:rPr>
          <w:t>Rate Settling for Services Reported by CPT or HCPCS Procedure Code Other Than the FQHC Encounter Code</w:t>
        </w:r>
      </w:hyperlink>
    </w:p>
    <w:p w14:paraId="3ED51EA9"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5" w:history="1">
        <w:r w:rsidRPr="00B31C02">
          <w:rPr>
            <w:rStyle w:val="Hyperlink"/>
          </w:rPr>
          <w:t>252.141</w:t>
        </w:r>
        <w:r>
          <w:rPr>
            <w:rFonts w:asciiTheme="minorHAnsi" w:eastAsiaTheme="minorEastAsia" w:hAnsiTheme="minorHAnsi" w:cstheme="minorBidi"/>
            <w:kern w:val="2"/>
            <w:sz w:val="24"/>
            <w:szCs w:val="24"/>
            <w14:ligatures w14:val="standardContextual"/>
          </w:rPr>
          <w:tab/>
        </w:r>
        <w:r w:rsidRPr="00B31C02">
          <w:rPr>
            <w:rStyle w:val="Hyperlink"/>
          </w:rPr>
          <w:t>Rate Settling for Vaccines for Children (VFC) Program Immunization Administration</w:t>
        </w:r>
      </w:hyperlink>
    </w:p>
    <w:p w14:paraId="1105FD2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6" w:history="1">
        <w:r w:rsidRPr="00B31C02">
          <w:rPr>
            <w:rStyle w:val="Hyperlink"/>
          </w:rPr>
          <w:t>252.200</w:t>
        </w:r>
        <w:r>
          <w:rPr>
            <w:rFonts w:asciiTheme="minorHAnsi" w:eastAsiaTheme="minorEastAsia" w:hAnsiTheme="minorHAnsi" w:cstheme="minorBidi"/>
            <w:kern w:val="2"/>
            <w:sz w:val="24"/>
            <w:szCs w:val="24"/>
            <w14:ligatures w14:val="standardContextual"/>
          </w:rPr>
          <w:tab/>
        </w:r>
        <w:r w:rsidRPr="00B31C02">
          <w:rPr>
            <w:rStyle w:val="Hyperlink"/>
          </w:rPr>
          <w:t>Alternative Reimbursement Methodology for Dates of Service on and after January 1, 2001</w:t>
        </w:r>
      </w:hyperlink>
    </w:p>
    <w:p w14:paraId="2DCCBC9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7" w:history="1">
        <w:r w:rsidRPr="00B31C02">
          <w:rPr>
            <w:rStyle w:val="Hyperlink"/>
          </w:rPr>
          <w:t>252.210</w:t>
        </w:r>
        <w:r>
          <w:rPr>
            <w:rFonts w:asciiTheme="minorHAnsi" w:eastAsiaTheme="minorEastAsia" w:hAnsiTheme="minorHAnsi" w:cstheme="minorBidi"/>
            <w:kern w:val="2"/>
            <w:sz w:val="24"/>
            <w:szCs w:val="24"/>
            <w14:ligatures w14:val="standardContextual"/>
          </w:rPr>
          <w:tab/>
        </w:r>
        <w:r w:rsidRPr="00B31C02">
          <w:rPr>
            <w:rStyle w:val="Hyperlink"/>
          </w:rPr>
          <w:t>Calculation of PPS Per Encounter Rate</w:t>
        </w:r>
      </w:hyperlink>
    </w:p>
    <w:p w14:paraId="226CED3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8" w:history="1">
        <w:r w:rsidRPr="00B31C02">
          <w:rPr>
            <w:rStyle w:val="Hyperlink"/>
          </w:rPr>
          <w:t>252.211</w:t>
        </w:r>
        <w:r>
          <w:rPr>
            <w:rFonts w:asciiTheme="minorHAnsi" w:eastAsiaTheme="minorEastAsia" w:hAnsiTheme="minorHAnsi" w:cstheme="minorBidi"/>
            <w:kern w:val="2"/>
            <w:sz w:val="24"/>
            <w:szCs w:val="24"/>
            <w14:ligatures w14:val="standardContextual"/>
          </w:rPr>
          <w:tab/>
        </w:r>
        <w:r w:rsidRPr="00B31C02">
          <w:rPr>
            <w:rStyle w:val="Hyperlink"/>
          </w:rPr>
          <w:t>Provider-Initiated PPS Rate Reductions</w:t>
        </w:r>
      </w:hyperlink>
    </w:p>
    <w:p w14:paraId="47D60FF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69" w:history="1">
        <w:r w:rsidRPr="00B31C02">
          <w:rPr>
            <w:rStyle w:val="Hyperlink"/>
          </w:rPr>
          <w:t>252.220</w:t>
        </w:r>
        <w:r>
          <w:rPr>
            <w:rFonts w:asciiTheme="minorHAnsi" w:eastAsiaTheme="minorEastAsia" w:hAnsiTheme="minorHAnsi" w:cstheme="minorBidi"/>
            <w:kern w:val="2"/>
            <w:sz w:val="24"/>
            <w:szCs w:val="24"/>
            <w14:ligatures w14:val="standardContextual"/>
          </w:rPr>
          <w:tab/>
        </w:r>
        <w:r w:rsidRPr="00B31C02">
          <w:rPr>
            <w:rStyle w:val="Hyperlink"/>
          </w:rPr>
          <w:t>Rate Adjustments for Scope of Services Changes</w:t>
        </w:r>
      </w:hyperlink>
    </w:p>
    <w:p w14:paraId="7A2EF8D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0" w:history="1">
        <w:r w:rsidRPr="00B31C02">
          <w:rPr>
            <w:rStyle w:val="Hyperlink"/>
          </w:rPr>
          <w:t>252.230</w:t>
        </w:r>
        <w:r>
          <w:rPr>
            <w:rFonts w:asciiTheme="minorHAnsi" w:eastAsiaTheme="minorEastAsia" w:hAnsiTheme="minorHAnsi" w:cstheme="minorBidi"/>
            <w:kern w:val="2"/>
            <w:sz w:val="24"/>
            <w:szCs w:val="24"/>
            <w14:ligatures w14:val="standardContextual"/>
          </w:rPr>
          <w:tab/>
        </w:r>
        <w:r w:rsidRPr="00B31C02">
          <w:rPr>
            <w:rStyle w:val="Hyperlink"/>
          </w:rPr>
          <w:t>Reimbursement for Other Ambulatory Services Encounters in FQHCs Electing the Alternative Reimbursement Methodology for Dates of Service on and after January 1, 2001</w:t>
        </w:r>
      </w:hyperlink>
    </w:p>
    <w:p w14:paraId="770CBA26"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1" w:history="1">
        <w:r w:rsidRPr="00B31C02">
          <w:rPr>
            <w:rStyle w:val="Hyperlink"/>
          </w:rPr>
          <w:t>252.231</w:t>
        </w:r>
        <w:r>
          <w:rPr>
            <w:rFonts w:asciiTheme="minorHAnsi" w:eastAsiaTheme="minorEastAsia" w:hAnsiTheme="minorHAnsi" w:cstheme="minorBidi"/>
            <w:kern w:val="2"/>
            <w:sz w:val="24"/>
            <w:szCs w:val="24"/>
            <w14:ligatures w14:val="standardContextual"/>
          </w:rPr>
          <w:tab/>
        </w:r>
        <w:r w:rsidRPr="00B31C02">
          <w:rPr>
            <w:rStyle w:val="Hyperlink"/>
          </w:rPr>
          <w:t>Fee Schedules</w:t>
        </w:r>
      </w:hyperlink>
    </w:p>
    <w:p w14:paraId="3E4E3B9E"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2" w:history="1">
        <w:r w:rsidRPr="00B31C02">
          <w:rPr>
            <w:rStyle w:val="Hyperlink"/>
          </w:rPr>
          <w:t>252.240</w:t>
        </w:r>
        <w:r>
          <w:rPr>
            <w:rFonts w:asciiTheme="minorHAnsi" w:eastAsiaTheme="minorEastAsia" w:hAnsiTheme="minorHAnsi" w:cstheme="minorBidi"/>
            <w:kern w:val="2"/>
            <w:sz w:val="24"/>
            <w:szCs w:val="24"/>
            <w14:ligatures w14:val="standardContextual"/>
          </w:rPr>
          <w:tab/>
        </w:r>
        <w:r w:rsidRPr="00B31C02">
          <w:rPr>
            <w:rStyle w:val="Hyperlink"/>
          </w:rPr>
          <w:t>Settlement for Services Reported by CPT or HCPCS Procedure Code Other than the FQHC Encounter Code</w:t>
        </w:r>
      </w:hyperlink>
    </w:p>
    <w:p w14:paraId="5A51E0F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3" w:history="1">
        <w:r w:rsidRPr="00B31C02">
          <w:rPr>
            <w:rStyle w:val="Hyperlink"/>
          </w:rPr>
          <w:t>252.241</w:t>
        </w:r>
        <w:r>
          <w:rPr>
            <w:rFonts w:asciiTheme="minorHAnsi" w:eastAsiaTheme="minorEastAsia" w:hAnsiTheme="minorHAnsi" w:cstheme="minorBidi"/>
            <w:kern w:val="2"/>
            <w:sz w:val="24"/>
            <w:szCs w:val="24"/>
            <w14:ligatures w14:val="standardContextual"/>
          </w:rPr>
          <w:tab/>
        </w:r>
        <w:r w:rsidRPr="00B31C02">
          <w:rPr>
            <w:rStyle w:val="Hyperlink"/>
          </w:rPr>
          <w:t>Settling for Vaccines for Children (VFC) Program Immunization Administration</w:t>
        </w:r>
      </w:hyperlink>
    </w:p>
    <w:p w14:paraId="122FF89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4" w:history="1">
        <w:r w:rsidRPr="00B31C02">
          <w:rPr>
            <w:rStyle w:val="Hyperlink"/>
          </w:rPr>
          <w:t>253.000</w:t>
        </w:r>
        <w:r>
          <w:rPr>
            <w:rFonts w:asciiTheme="minorHAnsi" w:eastAsiaTheme="minorEastAsia" w:hAnsiTheme="minorHAnsi" w:cstheme="minorBidi"/>
            <w:kern w:val="2"/>
            <w:sz w:val="24"/>
            <w:szCs w:val="24"/>
            <w14:ligatures w14:val="standardContextual"/>
          </w:rPr>
          <w:tab/>
        </w:r>
        <w:r w:rsidRPr="00B31C02">
          <w:rPr>
            <w:rStyle w:val="Hyperlink"/>
          </w:rPr>
          <w:t>Filing Cost Report Form CMS-222-92 (formerly HCFA-222-92)</w:t>
        </w:r>
      </w:hyperlink>
    </w:p>
    <w:p w14:paraId="555F72D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5" w:history="1">
        <w:r w:rsidRPr="00B31C02">
          <w:rPr>
            <w:rStyle w:val="Hyperlink"/>
          </w:rPr>
          <w:t>254.000</w:t>
        </w:r>
        <w:r>
          <w:rPr>
            <w:rFonts w:asciiTheme="minorHAnsi" w:eastAsiaTheme="minorEastAsia" w:hAnsiTheme="minorHAnsi" w:cstheme="minorBidi"/>
            <w:kern w:val="2"/>
            <w:sz w:val="24"/>
            <w:szCs w:val="24"/>
            <w14:ligatures w14:val="standardContextual"/>
          </w:rPr>
          <w:tab/>
        </w:r>
        <w:r w:rsidRPr="00B31C02">
          <w:rPr>
            <w:rStyle w:val="Hyperlink"/>
          </w:rPr>
          <w:t>Access to Subcontractor's Records</w:t>
        </w:r>
      </w:hyperlink>
    </w:p>
    <w:p w14:paraId="49C4B93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6" w:history="1">
        <w:r w:rsidRPr="00B31C02">
          <w:rPr>
            <w:rStyle w:val="Hyperlink"/>
          </w:rPr>
          <w:t>255.000</w:t>
        </w:r>
        <w:r>
          <w:rPr>
            <w:rFonts w:asciiTheme="minorHAnsi" w:eastAsiaTheme="minorEastAsia" w:hAnsiTheme="minorHAnsi" w:cstheme="minorBidi"/>
            <w:kern w:val="2"/>
            <w:sz w:val="24"/>
            <w:szCs w:val="24"/>
            <w14:ligatures w14:val="standardContextual"/>
          </w:rPr>
          <w:tab/>
        </w:r>
        <w:r w:rsidRPr="00B31C02">
          <w:rPr>
            <w:rStyle w:val="Hyperlink"/>
          </w:rPr>
          <w:t>Rate Appeal and/or Cost Settlement Appeal Process</w:t>
        </w:r>
      </w:hyperlink>
    </w:p>
    <w:p w14:paraId="1B01F4B5" w14:textId="77777777" w:rsidR="00F02144" w:rsidRDefault="00F02144">
      <w:pPr>
        <w:pStyle w:val="TOC1"/>
        <w:rPr>
          <w:rFonts w:asciiTheme="minorHAnsi" w:eastAsiaTheme="minorEastAsia" w:hAnsiTheme="minorHAnsi" w:cstheme="minorBidi"/>
          <w:b w:val="0"/>
          <w:caps w:val="0"/>
          <w:color w:val="auto"/>
          <w:kern w:val="2"/>
          <w:sz w:val="24"/>
          <w:szCs w:val="24"/>
          <w14:ligatures w14:val="standardContextual"/>
        </w:rPr>
      </w:pPr>
      <w:hyperlink w:anchor="_Toc202162677" w:history="1">
        <w:r w:rsidRPr="00B31C02">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B31C02">
          <w:rPr>
            <w:rStyle w:val="Hyperlink"/>
          </w:rPr>
          <w:t>BILLING PROCEDURES</w:t>
        </w:r>
      </w:hyperlink>
    </w:p>
    <w:p w14:paraId="35157E0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8" w:history="1">
        <w:r w:rsidRPr="00B31C02">
          <w:rPr>
            <w:rStyle w:val="Hyperlink"/>
          </w:rPr>
          <w:t>261.000</w:t>
        </w:r>
        <w:r>
          <w:rPr>
            <w:rFonts w:asciiTheme="minorHAnsi" w:eastAsiaTheme="minorEastAsia" w:hAnsiTheme="minorHAnsi" w:cstheme="minorBidi"/>
            <w:kern w:val="2"/>
            <w:sz w:val="24"/>
            <w:szCs w:val="24"/>
            <w14:ligatures w14:val="standardContextual"/>
          </w:rPr>
          <w:tab/>
        </w:r>
        <w:r w:rsidRPr="00B31C02">
          <w:rPr>
            <w:rStyle w:val="Hyperlink"/>
          </w:rPr>
          <w:t>Introduction to Billing</w:t>
        </w:r>
      </w:hyperlink>
    </w:p>
    <w:p w14:paraId="1491785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79" w:history="1">
        <w:r w:rsidRPr="00B31C02">
          <w:rPr>
            <w:rStyle w:val="Hyperlink"/>
          </w:rPr>
          <w:t>262.000</w:t>
        </w:r>
        <w:r>
          <w:rPr>
            <w:rFonts w:asciiTheme="minorHAnsi" w:eastAsiaTheme="minorEastAsia" w:hAnsiTheme="minorHAnsi" w:cstheme="minorBidi"/>
            <w:kern w:val="2"/>
            <w:sz w:val="24"/>
            <w:szCs w:val="24"/>
            <w14:ligatures w14:val="standardContextual"/>
          </w:rPr>
          <w:tab/>
        </w:r>
        <w:r w:rsidRPr="00B31C02">
          <w:rPr>
            <w:rStyle w:val="Hyperlink"/>
          </w:rPr>
          <w:t>CMS-1500 Billing Procedures</w:t>
        </w:r>
      </w:hyperlink>
    </w:p>
    <w:p w14:paraId="2BC25D4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0" w:history="1">
        <w:r w:rsidRPr="00B31C02">
          <w:rPr>
            <w:rStyle w:val="Hyperlink"/>
          </w:rPr>
          <w:t>262.100</w:t>
        </w:r>
        <w:r>
          <w:rPr>
            <w:rFonts w:asciiTheme="minorHAnsi" w:eastAsiaTheme="minorEastAsia" w:hAnsiTheme="minorHAnsi" w:cstheme="minorBidi"/>
            <w:kern w:val="2"/>
            <w:sz w:val="24"/>
            <w:szCs w:val="24"/>
            <w14:ligatures w14:val="standardContextual"/>
          </w:rPr>
          <w:tab/>
        </w:r>
        <w:r w:rsidRPr="00B31C02">
          <w:rPr>
            <w:rStyle w:val="Hyperlink"/>
          </w:rPr>
          <w:t>CPT Procedure Codes</w:t>
        </w:r>
      </w:hyperlink>
    </w:p>
    <w:p w14:paraId="5A802A34"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1" w:history="1">
        <w:r w:rsidRPr="00B31C02">
          <w:rPr>
            <w:rStyle w:val="Hyperlink"/>
          </w:rPr>
          <w:t>262.110</w:t>
        </w:r>
        <w:r>
          <w:rPr>
            <w:rFonts w:asciiTheme="minorHAnsi" w:eastAsiaTheme="minorEastAsia" w:hAnsiTheme="minorHAnsi" w:cstheme="minorBidi"/>
            <w:kern w:val="2"/>
            <w:sz w:val="24"/>
            <w:szCs w:val="24"/>
            <w14:ligatures w14:val="standardContextual"/>
          </w:rPr>
          <w:tab/>
        </w:r>
        <w:r w:rsidRPr="00B31C02">
          <w:rPr>
            <w:rStyle w:val="Hyperlink"/>
          </w:rPr>
          <w:t>FQHC Encounter Service</w:t>
        </w:r>
      </w:hyperlink>
    </w:p>
    <w:p w14:paraId="01DFF17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2" w:history="1">
        <w:r w:rsidRPr="00B31C02">
          <w:rPr>
            <w:rStyle w:val="Hyperlink"/>
          </w:rPr>
          <w:t>262.120</w:t>
        </w:r>
        <w:r>
          <w:rPr>
            <w:rFonts w:asciiTheme="minorHAnsi" w:eastAsiaTheme="minorEastAsia" w:hAnsiTheme="minorHAnsi" w:cstheme="minorBidi"/>
            <w:kern w:val="2"/>
            <w:sz w:val="24"/>
            <w:szCs w:val="24"/>
            <w14:ligatures w14:val="standardContextual"/>
          </w:rPr>
          <w:tab/>
        </w:r>
        <w:r w:rsidRPr="00B31C02">
          <w:rPr>
            <w:rStyle w:val="Hyperlink"/>
          </w:rPr>
          <w:t>Telemedicine</w:t>
        </w:r>
      </w:hyperlink>
    </w:p>
    <w:p w14:paraId="073E731E"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3" w:history="1">
        <w:r w:rsidRPr="00B31C02">
          <w:rPr>
            <w:rStyle w:val="Hyperlink"/>
          </w:rPr>
          <w:t>262.130</w:t>
        </w:r>
        <w:r>
          <w:rPr>
            <w:rFonts w:asciiTheme="minorHAnsi" w:eastAsiaTheme="minorEastAsia" w:hAnsiTheme="minorHAnsi" w:cstheme="minorBidi"/>
            <w:kern w:val="2"/>
            <w:sz w:val="24"/>
            <w:szCs w:val="24"/>
            <w14:ligatures w14:val="standardContextual"/>
          </w:rPr>
          <w:tab/>
        </w:r>
        <w:r w:rsidRPr="00B31C02">
          <w:rPr>
            <w:rStyle w:val="Hyperlink"/>
          </w:rPr>
          <w:t>Obstetric and Gynecologic Encounters</w:t>
        </w:r>
      </w:hyperlink>
    </w:p>
    <w:p w14:paraId="01D2EB1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4" w:history="1">
        <w:r w:rsidRPr="00B31C02">
          <w:rPr>
            <w:rStyle w:val="Hyperlink"/>
          </w:rPr>
          <w:t>262.140</w:t>
        </w:r>
        <w:r>
          <w:rPr>
            <w:rFonts w:asciiTheme="minorHAnsi" w:eastAsiaTheme="minorEastAsia" w:hAnsiTheme="minorHAnsi" w:cstheme="minorBidi"/>
            <w:kern w:val="2"/>
            <w:sz w:val="24"/>
            <w:szCs w:val="24"/>
            <w14:ligatures w14:val="standardContextual"/>
          </w:rPr>
          <w:tab/>
        </w:r>
        <w:r w:rsidRPr="00B31C02">
          <w:rPr>
            <w:rStyle w:val="Hyperlink"/>
          </w:rPr>
          <w:t>Family Planning</w:t>
        </w:r>
      </w:hyperlink>
    </w:p>
    <w:p w14:paraId="1390B93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5" w:history="1">
        <w:r w:rsidRPr="00B31C02">
          <w:rPr>
            <w:rStyle w:val="Hyperlink"/>
          </w:rPr>
          <w:t>262.141</w:t>
        </w:r>
        <w:r>
          <w:rPr>
            <w:rFonts w:asciiTheme="minorHAnsi" w:eastAsiaTheme="minorEastAsia" w:hAnsiTheme="minorHAnsi" w:cstheme="minorBidi"/>
            <w:kern w:val="2"/>
            <w:sz w:val="24"/>
            <w:szCs w:val="24"/>
            <w14:ligatures w14:val="standardContextual"/>
          </w:rPr>
          <w:tab/>
        </w:r>
        <w:r w:rsidRPr="00B31C02">
          <w:rPr>
            <w:rStyle w:val="Hyperlink"/>
          </w:rPr>
          <w:t>Family Planning and Post-Sterilization Visits</w:t>
        </w:r>
      </w:hyperlink>
    </w:p>
    <w:p w14:paraId="321F547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6" w:history="1">
        <w:r w:rsidRPr="00B31C02">
          <w:rPr>
            <w:rStyle w:val="Hyperlink"/>
          </w:rPr>
          <w:t>262.142</w:t>
        </w:r>
        <w:r>
          <w:rPr>
            <w:rFonts w:asciiTheme="minorHAnsi" w:eastAsiaTheme="minorEastAsia" w:hAnsiTheme="minorHAnsi" w:cstheme="minorBidi"/>
            <w:kern w:val="2"/>
            <w:sz w:val="24"/>
            <w:szCs w:val="24"/>
            <w14:ligatures w14:val="standardContextual"/>
          </w:rPr>
          <w:tab/>
        </w:r>
        <w:r w:rsidRPr="00B31C02">
          <w:rPr>
            <w:rStyle w:val="Hyperlink"/>
          </w:rPr>
          <w:t>Family Planning Procedures</w:t>
        </w:r>
      </w:hyperlink>
    </w:p>
    <w:p w14:paraId="76F789E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7" w:history="1">
        <w:r w:rsidRPr="00B31C02">
          <w:rPr>
            <w:rStyle w:val="Hyperlink"/>
          </w:rPr>
          <w:t>262.143</w:t>
        </w:r>
        <w:r>
          <w:rPr>
            <w:rFonts w:asciiTheme="minorHAnsi" w:eastAsiaTheme="minorEastAsia" w:hAnsiTheme="minorHAnsi" w:cstheme="minorBidi"/>
            <w:kern w:val="2"/>
            <w:sz w:val="24"/>
            <w:szCs w:val="24"/>
            <w14:ligatures w14:val="standardContextual"/>
          </w:rPr>
          <w:tab/>
        </w:r>
        <w:r w:rsidRPr="00B31C02">
          <w:rPr>
            <w:rStyle w:val="Hyperlink"/>
          </w:rPr>
          <w:t>Contraceptives</w:t>
        </w:r>
      </w:hyperlink>
    </w:p>
    <w:p w14:paraId="1173972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8" w:history="1">
        <w:r w:rsidRPr="00B31C02">
          <w:rPr>
            <w:rStyle w:val="Hyperlink"/>
          </w:rPr>
          <w:t>262.144</w:t>
        </w:r>
        <w:r>
          <w:rPr>
            <w:rFonts w:asciiTheme="minorHAnsi" w:eastAsiaTheme="minorEastAsia" w:hAnsiTheme="minorHAnsi" w:cstheme="minorBidi"/>
            <w:kern w:val="2"/>
            <w:sz w:val="24"/>
            <w:szCs w:val="24"/>
            <w14:ligatures w14:val="standardContextual"/>
          </w:rPr>
          <w:tab/>
        </w:r>
        <w:r w:rsidRPr="00B31C02">
          <w:rPr>
            <w:rStyle w:val="Hyperlink"/>
          </w:rPr>
          <w:t>Contraceptive Injections—Depo-Provera</w:t>
        </w:r>
      </w:hyperlink>
    </w:p>
    <w:p w14:paraId="1A7A7A6D"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89" w:history="1">
        <w:r w:rsidRPr="00B31C02">
          <w:rPr>
            <w:rStyle w:val="Hyperlink"/>
          </w:rPr>
          <w:t>262.150</w:t>
        </w:r>
        <w:r>
          <w:rPr>
            <w:rFonts w:asciiTheme="minorHAnsi" w:eastAsiaTheme="minorEastAsia" w:hAnsiTheme="minorHAnsi" w:cstheme="minorBidi"/>
            <w:kern w:val="2"/>
            <w:sz w:val="24"/>
            <w:szCs w:val="24"/>
            <w14:ligatures w14:val="standardContextual"/>
          </w:rPr>
          <w:tab/>
        </w:r>
        <w:r w:rsidRPr="00B31C02">
          <w:rPr>
            <w:rStyle w:val="Hyperlink"/>
          </w:rPr>
          <w:t>Family Planning Laboratory Procedures</w:t>
        </w:r>
      </w:hyperlink>
    </w:p>
    <w:p w14:paraId="67B7777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0" w:history="1">
        <w:r w:rsidRPr="00B31C02">
          <w:rPr>
            <w:rStyle w:val="Hyperlink"/>
          </w:rPr>
          <w:t>262.151</w:t>
        </w:r>
        <w:r>
          <w:rPr>
            <w:rFonts w:asciiTheme="minorHAnsi" w:eastAsiaTheme="minorEastAsia" w:hAnsiTheme="minorHAnsi" w:cstheme="minorBidi"/>
            <w:kern w:val="2"/>
            <w:sz w:val="24"/>
            <w:szCs w:val="24"/>
            <w14:ligatures w14:val="standardContextual"/>
          </w:rPr>
          <w:tab/>
        </w:r>
        <w:r w:rsidRPr="00B31C02">
          <w:rPr>
            <w:rStyle w:val="Hyperlink"/>
          </w:rPr>
          <w:t>Local Procedure Codes</w:t>
        </w:r>
      </w:hyperlink>
    </w:p>
    <w:p w14:paraId="046F289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1" w:history="1">
        <w:r w:rsidRPr="00B31C02">
          <w:rPr>
            <w:rStyle w:val="Hyperlink"/>
          </w:rPr>
          <w:t>262.152</w:t>
        </w:r>
        <w:r>
          <w:rPr>
            <w:rFonts w:asciiTheme="minorHAnsi" w:eastAsiaTheme="minorEastAsia" w:hAnsiTheme="minorHAnsi" w:cstheme="minorBidi"/>
            <w:kern w:val="2"/>
            <w:sz w:val="24"/>
            <w:szCs w:val="24"/>
            <w14:ligatures w14:val="standardContextual"/>
          </w:rPr>
          <w:tab/>
        </w:r>
        <w:r w:rsidRPr="00B31C02">
          <w:rPr>
            <w:rStyle w:val="Hyperlink"/>
          </w:rPr>
          <w:t>National Procedure Codes</w:t>
        </w:r>
      </w:hyperlink>
    </w:p>
    <w:p w14:paraId="3773DA5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2" w:history="1">
        <w:r w:rsidRPr="00B31C02">
          <w:rPr>
            <w:rStyle w:val="Hyperlink"/>
          </w:rPr>
          <w:t>262.160</w:t>
        </w:r>
        <w:r>
          <w:rPr>
            <w:rFonts w:asciiTheme="minorHAnsi" w:eastAsiaTheme="minorEastAsia" w:hAnsiTheme="minorHAnsi" w:cstheme="minorBidi"/>
            <w:kern w:val="2"/>
            <w:sz w:val="24"/>
            <w:szCs w:val="24"/>
            <w14:ligatures w14:val="standardContextual"/>
          </w:rPr>
          <w:tab/>
        </w:r>
        <w:r w:rsidRPr="00B31C02">
          <w:rPr>
            <w:rStyle w:val="Hyperlink"/>
          </w:rPr>
          <w:t>Non-Payable and Excluded Procedure Codes</w:t>
        </w:r>
      </w:hyperlink>
    </w:p>
    <w:p w14:paraId="728C97D1"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3" w:history="1">
        <w:r w:rsidRPr="00B31C02">
          <w:rPr>
            <w:rStyle w:val="Hyperlink"/>
          </w:rPr>
          <w:t>262.200</w:t>
        </w:r>
        <w:r>
          <w:rPr>
            <w:rFonts w:asciiTheme="minorHAnsi" w:eastAsiaTheme="minorEastAsia" w:hAnsiTheme="minorHAnsi" w:cstheme="minorBidi"/>
            <w:kern w:val="2"/>
            <w:sz w:val="24"/>
            <w:szCs w:val="24"/>
            <w14:ligatures w14:val="standardContextual"/>
          </w:rPr>
          <w:tab/>
        </w:r>
        <w:r w:rsidRPr="00B31C02">
          <w:rPr>
            <w:rStyle w:val="Hyperlink"/>
          </w:rPr>
          <w:t>FQHC National Standard Place of Service Codes</w:t>
        </w:r>
      </w:hyperlink>
    </w:p>
    <w:p w14:paraId="16A92710"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4" w:history="1">
        <w:r w:rsidRPr="00B31C02">
          <w:rPr>
            <w:rStyle w:val="Hyperlink"/>
          </w:rPr>
          <w:t>262.210</w:t>
        </w:r>
        <w:r>
          <w:rPr>
            <w:rFonts w:asciiTheme="minorHAnsi" w:eastAsiaTheme="minorEastAsia" w:hAnsiTheme="minorHAnsi" w:cstheme="minorBidi"/>
            <w:kern w:val="2"/>
            <w:sz w:val="24"/>
            <w:szCs w:val="24"/>
            <w14:ligatures w14:val="standardContextual"/>
          </w:rPr>
          <w:tab/>
        </w:r>
        <w:r w:rsidRPr="00B31C02">
          <w:rPr>
            <w:rStyle w:val="Hyperlink"/>
          </w:rPr>
          <w:t>FQHC Place of Service Codes</w:t>
        </w:r>
      </w:hyperlink>
    </w:p>
    <w:p w14:paraId="724C474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5" w:history="1">
        <w:r w:rsidRPr="00B31C02">
          <w:rPr>
            <w:rStyle w:val="Hyperlink"/>
          </w:rPr>
          <w:t>262.300</w:t>
        </w:r>
        <w:r>
          <w:rPr>
            <w:rFonts w:asciiTheme="minorHAnsi" w:eastAsiaTheme="minorEastAsia" w:hAnsiTheme="minorHAnsi" w:cstheme="minorBidi"/>
            <w:kern w:val="2"/>
            <w:sz w:val="24"/>
            <w:szCs w:val="24"/>
            <w14:ligatures w14:val="standardContextual"/>
          </w:rPr>
          <w:tab/>
        </w:r>
        <w:r w:rsidRPr="00B31C02">
          <w:rPr>
            <w:rStyle w:val="Hyperlink"/>
          </w:rPr>
          <w:t>Billing Instructions – Paper Only</w:t>
        </w:r>
      </w:hyperlink>
    </w:p>
    <w:p w14:paraId="73579761"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6" w:history="1">
        <w:r w:rsidRPr="00B31C02">
          <w:rPr>
            <w:rStyle w:val="Hyperlink"/>
          </w:rPr>
          <w:t>262.310</w:t>
        </w:r>
        <w:r>
          <w:rPr>
            <w:rFonts w:asciiTheme="minorHAnsi" w:eastAsiaTheme="minorEastAsia" w:hAnsiTheme="minorHAnsi" w:cstheme="minorBidi"/>
            <w:kern w:val="2"/>
            <w:sz w:val="24"/>
            <w:szCs w:val="24"/>
            <w14:ligatures w14:val="standardContextual"/>
          </w:rPr>
          <w:tab/>
        </w:r>
        <w:r w:rsidRPr="00B31C02">
          <w:rPr>
            <w:rStyle w:val="Hyperlink"/>
          </w:rPr>
          <w:t>Completion of the CMS-1500 Claim Form</w:t>
        </w:r>
      </w:hyperlink>
    </w:p>
    <w:p w14:paraId="025758C2"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7" w:history="1">
        <w:r w:rsidRPr="00B31C02">
          <w:rPr>
            <w:rStyle w:val="Hyperlink"/>
          </w:rPr>
          <w:t>262.400</w:t>
        </w:r>
        <w:r>
          <w:rPr>
            <w:rFonts w:asciiTheme="minorHAnsi" w:eastAsiaTheme="minorEastAsia" w:hAnsiTheme="minorHAnsi" w:cstheme="minorBidi"/>
            <w:kern w:val="2"/>
            <w:sz w:val="24"/>
            <w:szCs w:val="24"/>
            <w14:ligatures w14:val="standardContextual"/>
          </w:rPr>
          <w:tab/>
        </w:r>
        <w:r w:rsidRPr="00B31C02">
          <w:rPr>
            <w:rStyle w:val="Hyperlink"/>
          </w:rPr>
          <w:t>Special Billing Procedures</w:t>
        </w:r>
      </w:hyperlink>
    </w:p>
    <w:p w14:paraId="6BF4A8F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8" w:history="1">
        <w:r w:rsidRPr="00B31C02">
          <w:rPr>
            <w:rStyle w:val="Hyperlink"/>
          </w:rPr>
          <w:t>262.410</w:t>
        </w:r>
        <w:r>
          <w:rPr>
            <w:rFonts w:asciiTheme="minorHAnsi" w:eastAsiaTheme="minorEastAsia" w:hAnsiTheme="minorHAnsi" w:cstheme="minorBidi"/>
            <w:kern w:val="2"/>
            <w:sz w:val="24"/>
            <w:szCs w:val="24"/>
            <w14:ligatures w14:val="standardContextual"/>
          </w:rPr>
          <w:tab/>
        </w:r>
        <w:r w:rsidRPr="00B31C02">
          <w:rPr>
            <w:rStyle w:val="Hyperlink"/>
          </w:rPr>
          <w:t>Ancillary Charges</w:t>
        </w:r>
      </w:hyperlink>
    </w:p>
    <w:p w14:paraId="24032F87"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699" w:history="1">
        <w:r w:rsidRPr="00B31C02">
          <w:rPr>
            <w:rStyle w:val="Hyperlink"/>
          </w:rPr>
          <w:t>262.420</w:t>
        </w:r>
        <w:r>
          <w:rPr>
            <w:rFonts w:asciiTheme="minorHAnsi" w:eastAsiaTheme="minorEastAsia" w:hAnsiTheme="minorHAnsi" w:cstheme="minorBidi"/>
            <w:kern w:val="2"/>
            <w:sz w:val="24"/>
            <w:szCs w:val="24"/>
            <w14:ligatures w14:val="standardContextual"/>
          </w:rPr>
          <w:tab/>
        </w:r>
        <w:r w:rsidRPr="00B31C02">
          <w:rPr>
            <w:rStyle w:val="Hyperlink"/>
          </w:rPr>
          <w:t>Preventive Medicine</w:t>
        </w:r>
      </w:hyperlink>
    </w:p>
    <w:p w14:paraId="29431B2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0" w:history="1">
        <w:r w:rsidRPr="00B31C02">
          <w:rPr>
            <w:rStyle w:val="Hyperlink"/>
          </w:rPr>
          <w:t>262.421</w:t>
        </w:r>
        <w:r>
          <w:rPr>
            <w:rFonts w:asciiTheme="minorHAnsi" w:eastAsiaTheme="minorEastAsia" w:hAnsiTheme="minorHAnsi" w:cstheme="minorBidi"/>
            <w:kern w:val="2"/>
            <w:sz w:val="24"/>
            <w:szCs w:val="24"/>
            <w14:ligatures w14:val="standardContextual"/>
          </w:rPr>
          <w:tab/>
        </w:r>
        <w:r w:rsidRPr="00B31C02">
          <w:rPr>
            <w:rStyle w:val="Hyperlink"/>
          </w:rPr>
          <w:t>Child Health Services (EPSDT) Screens</w:t>
        </w:r>
      </w:hyperlink>
    </w:p>
    <w:p w14:paraId="0E7530C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1" w:history="1">
        <w:r w:rsidRPr="00B31C02">
          <w:rPr>
            <w:rStyle w:val="Hyperlink"/>
          </w:rPr>
          <w:t>262.422</w:t>
        </w:r>
        <w:r>
          <w:rPr>
            <w:rFonts w:asciiTheme="minorHAnsi" w:eastAsiaTheme="minorEastAsia" w:hAnsiTheme="minorHAnsi" w:cstheme="minorBidi"/>
            <w:kern w:val="2"/>
            <w:sz w:val="24"/>
            <w:szCs w:val="24"/>
            <w14:ligatures w14:val="standardContextual"/>
          </w:rPr>
          <w:tab/>
        </w:r>
        <w:r w:rsidRPr="00B31C02">
          <w:rPr>
            <w:rStyle w:val="Hyperlink"/>
          </w:rPr>
          <w:t>ARKids First-B Preventive Health Screens</w:t>
        </w:r>
      </w:hyperlink>
    </w:p>
    <w:p w14:paraId="40DC65E8"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2" w:history="1">
        <w:r w:rsidRPr="00B31C02">
          <w:rPr>
            <w:rStyle w:val="Hyperlink"/>
          </w:rPr>
          <w:t>262.423</w:t>
        </w:r>
        <w:r>
          <w:rPr>
            <w:rFonts w:asciiTheme="minorHAnsi" w:eastAsiaTheme="minorEastAsia" w:hAnsiTheme="minorHAnsi" w:cstheme="minorBidi"/>
            <w:kern w:val="2"/>
            <w:sz w:val="24"/>
            <w:szCs w:val="24"/>
            <w14:ligatures w14:val="standardContextual"/>
          </w:rPr>
          <w:tab/>
        </w:r>
        <w:r w:rsidRPr="00B31C02">
          <w:rPr>
            <w:rStyle w:val="Hyperlink"/>
          </w:rPr>
          <w:t>Vaccines for Children (VFC) Program</w:t>
        </w:r>
      </w:hyperlink>
    </w:p>
    <w:p w14:paraId="623E508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3" w:history="1">
        <w:r w:rsidRPr="00B31C02">
          <w:rPr>
            <w:rStyle w:val="Hyperlink"/>
          </w:rPr>
          <w:t>262.424</w:t>
        </w:r>
        <w:r>
          <w:rPr>
            <w:rFonts w:asciiTheme="minorHAnsi" w:eastAsiaTheme="minorEastAsia" w:hAnsiTheme="minorHAnsi" w:cstheme="minorBidi"/>
            <w:kern w:val="2"/>
            <w:sz w:val="24"/>
            <w:szCs w:val="24"/>
            <w14:ligatures w14:val="standardContextual"/>
          </w:rPr>
          <w:tab/>
        </w:r>
        <w:r w:rsidRPr="00B31C02">
          <w:rPr>
            <w:rStyle w:val="Hyperlink"/>
          </w:rPr>
          <w:t>Other Ambulatory Services</w:t>
        </w:r>
      </w:hyperlink>
    </w:p>
    <w:p w14:paraId="0BA4C77B"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4" w:history="1">
        <w:r w:rsidRPr="00B31C02">
          <w:rPr>
            <w:rStyle w:val="Hyperlink"/>
          </w:rPr>
          <w:t>262.430</w:t>
        </w:r>
        <w:r>
          <w:rPr>
            <w:rFonts w:asciiTheme="minorHAnsi" w:eastAsiaTheme="minorEastAsia" w:hAnsiTheme="minorHAnsi" w:cstheme="minorBidi"/>
            <w:kern w:val="2"/>
            <w:sz w:val="24"/>
            <w:szCs w:val="24"/>
            <w14:ligatures w14:val="standardContextual"/>
          </w:rPr>
          <w:tab/>
        </w:r>
        <w:r w:rsidRPr="00B31C02">
          <w:rPr>
            <w:rStyle w:val="Hyperlink"/>
          </w:rPr>
          <w:t>Medication Assisted Treatment</w:t>
        </w:r>
      </w:hyperlink>
    </w:p>
    <w:p w14:paraId="4B856B23"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5" w:history="1">
        <w:r w:rsidRPr="00B31C02">
          <w:rPr>
            <w:rStyle w:val="Hyperlink"/>
          </w:rPr>
          <w:t>262.440</w:t>
        </w:r>
        <w:r>
          <w:rPr>
            <w:rFonts w:asciiTheme="minorHAnsi" w:eastAsiaTheme="minorEastAsia" w:hAnsiTheme="minorHAnsi" w:cstheme="minorBidi"/>
            <w:kern w:val="2"/>
            <w:sz w:val="24"/>
            <w:szCs w:val="24"/>
            <w14:ligatures w14:val="standardContextual"/>
          </w:rPr>
          <w:tab/>
        </w:r>
        <w:r w:rsidRPr="00B31C02">
          <w:rPr>
            <w:rStyle w:val="Hyperlink"/>
          </w:rPr>
          <w:t>Diagnosis Codes not Covered for Beneficiaries under 21</w:t>
        </w:r>
      </w:hyperlink>
    </w:p>
    <w:p w14:paraId="586BF30F"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6" w:history="1">
        <w:r w:rsidRPr="00B31C02">
          <w:rPr>
            <w:rStyle w:val="Hyperlink"/>
          </w:rPr>
          <w:t>262.441</w:t>
        </w:r>
        <w:r>
          <w:rPr>
            <w:rFonts w:asciiTheme="minorHAnsi" w:eastAsiaTheme="minorEastAsia" w:hAnsiTheme="minorHAnsi" w:cstheme="minorBidi"/>
            <w:kern w:val="2"/>
            <w:sz w:val="24"/>
            <w:szCs w:val="24"/>
            <w14:ligatures w14:val="standardContextual"/>
          </w:rPr>
          <w:tab/>
        </w:r>
        <w:r w:rsidRPr="00B31C02">
          <w:rPr>
            <w:rStyle w:val="Hyperlink"/>
          </w:rPr>
          <w:t>National Drug Codes (NDCs)</w:t>
        </w:r>
      </w:hyperlink>
    </w:p>
    <w:p w14:paraId="40585C05" w14:textId="77777777" w:rsidR="00F02144" w:rsidRDefault="00F02144">
      <w:pPr>
        <w:pStyle w:val="TOC2"/>
        <w:rPr>
          <w:rFonts w:asciiTheme="minorHAnsi" w:eastAsiaTheme="minorEastAsia" w:hAnsiTheme="minorHAnsi" w:cstheme="minorBidi"/>
          <w:kern w:val="2"/>
          <w:sz w:val="24"/>
          <w:szCs w:val="24"/>
          <w14:ligatures w14:val="standardContextual"/>
        </w:rPr>
      </w:pPr>
      <w:hyperlink w:anchor="_Toc202162707" w:history="1">
        <w:r w:rsidRPr="00B31C02">
          <w:rPr>
            <w:rStyle w:val="Hyperlink"/>
          </w:rPr>
          <w:t>262.442</w:t>
        </w:r>
        <w:r>
          <w:rPr>
            <w:rFonts w:asciiTheme="minorHAnsi" w:eastAsiaTheme="minorEastAsia" w:hAnsiTheme="minorHAnsi" w:cstheme="minorBidi"/>
            <w:kern w:val="2"/>
            <w:sz w:val="24"/>
            <w:szCs w:val="24"/>
            <w14:ligatures w14:val="standardContextual"/>
          </w:rPr>
          <w:tab/>
        </w:r>
        <w:r w:rsidRPr="00B31C02">
          <w:rPr>
            <w:rStyle w:val="Hyperlink"/>
          </w:rPr>
          <w:t>Billing of Multi-Use and Single-Use Vials</w:t>
        </w:r>
      </w:hyperlink>
    </w:p>
    <w:p w14:paraId="02D1F376" w14:textId="18CEEFEE" w:rsidR="006D15F7" w:rsidRPr="006B2E8B" w:rsidRDefault="006D15F7">
      <w:pPr>
        <w:pStyle w:val="ctablespace"/>
      </w:pPr>
      <w:r w:rsidRPr="006B2E8B">
        <w:fldChar w:fldCharType="end"/>
      </w:r>
      <w:bookmarkEnd w:id="1"/>
    </w:p>
    <w:tbl>
      <w:tblPr>
        <w:tblW w:w="0" w:type="auto"/>
        <w:tblLayout w:type="fixed"/>
        <w:tblLook w:val="0000" w:firstRow="0" w:lastRow="0" w:firstColumn="0" w:lastColumn="0" w:noHBand="0" w:noVBand="0"/>
      </w:tblPr>
      <w:tblGrid>
        <w:gridCol w:w="8122"/>
        <w:gridCol w:w="1238"/>
      </w:tblGrid>
      <w:tr w:rsidR="006D15F7" w:rsidRPr="006B2E8B" w14:paraId="75BA89C6" w14:textId="77777777" w:rsidTr="00D62AF5">
        <w:trPr>
          <w:cantSplit/>
        </w:trPr>
        <w:tc>
          <w:tcPr>
            <w:tcW w:w="8122" w:type="dxa"/>
            <w:shd w:val="clear" w:color="auto" w:fill="1D73D6"/>
          </w:tcPr>
          <w:p w14:paraId="4B75B88E" w14:textId="77777777" w:rsidR="006D15F7" w:rsidRPr="006B2E8B" w:rsidRDefault="006D15F7">
            <w:pPr>
              <w:pStyle w:val="chead1"/>
            </w:pPr>
            <w:bookmarkStart w:id="3" w:name="_Toc40064359"/>
            <w:bookmarkStart w:id="4" w:name="_Toc202162585"/>
            <w:bookmarkEnd w:id="0"/>
            <w:bookmarkEnd w:id="2"/>
            <w:r w:rsidRPr="006B2E8B">
              <w:t>200.000</w:t>
            </w:r>
            <w:r w:rsidRPr="006B2E8B">
              <w:tab/>
              <w:t>FQHC GENERAL INFORMATION</w:t>
            </w:r>
            <w:bookmarkEnd w:id="3"/>
            <w:bookmarkEnd w:id="4"/>
          </w:p>
        </w:tc>
        <w:tc>
          <w:tcPr>
            <w:tcW w:w="1238" w:type="dxa"/>
            <w:shd w:val="clear" w:color="auto" w:fill="1D73D6"/>
          </w:tcPr>
          <w:p w14:paraId="7E35EC63" w14:textId="77777777" w:rsidR="006D15F7" w:rsidRPr="006B2E8B" w:rsidRDefault="006D15F7" w:rsidP="006D15F7">
            <w:pPr>
              <w:pStyle w:val="cDate1"/>
            </w:pPr>
          </w:p>
        </w:tc>
      </w:tr>
      <w:tr w:rsidR="00755961" w:rsidRPr="006B2E8B" w14:paraId="5F5AE17D" w14:textId="77777777" w:rsidTr="00D62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10445BDB" w14:textId="77777777" w:rsidR="00755961" w:rsidRPr="006B2E8B" w:rsidRDefault="00755961" w:rsidP="00527686">
            <w:pPr>
              <w:pStyle w:val="chead2"/>
              <w:numPr>
                <w:ilvl w:val="12"/>
                <w:numId w:val="0"/>
              </w:numPr>
              <w:ind w:left="1440" w:hanging="1440"/>
            </w:pPr>
            <w:bookmarkStart w:id="5" w:name="_Toc202162586"/>
            <w:r w:rsidRPr="006B2E8B">
              <w:t>201.000</w:t>
            </w:r>
            <w:r w:rsidRPr="006B2E8B">
              <w:tab/>
            </w:r>
            <w:smartTag w:uri="urn:schemas-microsoft-com:office:smarttags" w:element="State">
              <w:smartTag w:uri="urn:schemas-microsoft-com:office:smarttags" w:element="place">
                <w:r w:rsidRPr="006B2E8B">
                  <w:t>Arkansas</w:t>
                </w:r>
              </w:smartTag>
            </w:smartTag>
            <w:r w:rsidRPr="006B2E8B">
              <w:t xml:space="preserve"> Medicaid Participation Requirements for Federally Qualified Health Centers</w:t>
            </w:r>
            <w:bookmarkEnd w:id="5"/>
          </w:p>
        </w:tc>
        <w:tc>
          <w:tcPr>
            <w:tcW w:w="1238" w:type="dxa"/>
            <w:tcBorders>
              <w:top w:val="nil"/>
              <w:left w:val="single" w:sz="6" w:space="0" w:color="FFFFFF"/>
              <w:bottom w:val="single" w:sz="6" w:space="0" w:color="FFFFFF"/>
              <w:right w:val="single" w:sz="6" w:space="0" w:color="FFFFFF"/>
            </w:tcBorders>
          </w:tcPr>
          <w:p w14:paraId="29849BD4" w14:textId="77777777" w:rsidR="00755961" w:rsidRPr="006B2E8B" w:rsidRDefault="00755961" w:rsidP="00527686">
            <w:pPr>
              <w:pStyle w:val="cDate2"/>
              <w:numPr>
                <w:ilvl w:val="12"/>
                <w:numId w:val="0"/>
              </w:numPr>
            </w:pPr>
            <w:r w:rsidRPr="006B2E8B">
              <w:t>10-15-09</w:t>
            </w:r>
          </w:p>
        </w:tc>
      </w:tr>
    </w:tbl>
    <w:p w14:paraId="3C897192" w14:textId="77777777" w:rsidR="00755961" w:rsidRPr="006B2E8B" w:rsidRDefault="00755961" w:rsidP="00755961">
      <w:pPr>
        <w:pStyle w:val="ctext"/>
      </w:pPr>
      <w:r w:rsidRPr="006B2E8B">
        <w:t>Federally Qualified Health Centers (FQHC) are eligible for participation in the Arkansas Medicaid Program if they meet the following criteria:</w:t>
      </w:r>
    </w:p>
    <w:p w14:paraId="7FD6BCDC" w14:textId="77777777" w:rsidR="00755961" w:rsidRPr="006B2E8B" w:rsidRDefault="00755961" w:rsidP="00755961">
      <w:pPr>
        <w:pStyle w:val="CLETTERED"/>
      </w:pPr>
      <w:r w:rsidRPr="006B2E8B">
        <w:t>A.</w:t>
      </w:r>
      <w:r w:rsidRPr="006B2E8B">
        <w:tab/>
        <w:t xml:space="preserve">Providers must </w:t>
      </w:r>
      <w:proofErr w:type="gramStart"/>
      <w:r w:rsidRPr="006B2E8B">
        <w:t>be located in</w:t>
      </w:r>
      <w:proofErr w:type="gramEnd"/>
      <w:r w:rsidRPr="006B2E8B">
        <w:t xml:space="preserve"> </w:t>
      </w:r>
      <w:smartTag w:uri="urn:schemas-microsoft-com:office:smarttags" w:element="State">
        <w:smartTag w:uri="urn:schemas-microsoft-com:office:smarttags" w:element="place">
          <w:r w:rsidRPr="006B2E8B">
            <w:t>Arkansas</w:t>
          </w:r>
        </w:smartTag>
      </w:smartTag>
      <w:r w:rsidRPr="006B2E8B">
        <w:t>.</w:t>
      </w:r>
    </w:p>
    <w:p w14:paraId="6C18476B" w14:textId="77777777" w:rsidR="00755961" w:rsidRPr="006B2E8B" w:rsidRDefault="00755961" w:rsidP="00755961">
      <w:pPr>
        <w:pStyle w:val="CLETTERED"/>
      </w:pPr>
      <w:r w:rsidRPr="006B2E8B">
        <w:t>B.</w:t>
      </w:r>
      <w:r w:rsidRPr="006B2E8B">
        <w:tab/>
        <w:t>An FQHC must submit, from among the following, a copy of the current Notice of Grant Award from Public Health Services (PHS): 1) Section 329-Migrant Health Centers, 2) Section 330-Community Health Centers or 3) Section 340-Services to Homeless Individuals.</w:t>
      </w:r>
    </w:p>
    <w:p w14:paraId="7A78CBAE" w14:textId="77777777" w:rsidR="00755961" w:rsidRPr="006B2E8B" w:rsidRDefault="00755961" w:rsidP="00755961">
      <w:pPr>
        <w:pStyle w:val="cnumbered"/>
      </w:pPr>
      <w:r w:rsidRPr="006B2E8B">
        <w:t>1.</w:t>
      </w:r>
      <w:r w:rsidRPr="006B2E8B">
        <w:tab/>
        <w:t xml:space="preserve">Each grant year, FQHC must provide evidence that they continue to receive PHS grant funds </w:t>
      </w:r>
      <w:proofErr w:type="gramStart"/>
      <w:r w:rsidRPr="006B2E8B">
        <w:t>in order to</w:t>
      </w:r>
      <w:proofErr w:type="gramEnd"/>
      <w:r w:rsidRPr="006B2E8B">
        <w:t xml:space="preserve"> continue participation in the Medicaid Program as an FQHC.</w:t>
      </w:r>
    </w:p>
    <w:p w14:paraId="072ABD23" w14:textId="77777777" w:rsidR="00755961" w:rsidRPr="006B2E8B" w:rsidRDefault="00755961" w:rsidP="00755961">
      <w:pPr>
        <w:pStyle w:val="cletteredindent"/>
      </w:pPr>
      <w:r w:rsidRPr="006B2E8B">
        <w:t>a.</w:t>
      </w:r>
      <w:r w:rsidRPr="006B2E8B">
        <w:tab/>
        <w:t>Providers must submit a Notice of Grant Award every grant year to verify receipt of PHS grant funds.</w:t>
      </w:r>
    </w:p>
    <w:p w14:paraId="0DA6A2FD" w14:textId="22A14C1C" w:rsidR="00755961" w:rsidRPr="006B2E8B" w:rsidRDefault="00755961" w:rsidP="00755961">
      <w:pPr>
        <w:pStyle w:val="cletteredindent"/>
      </w:pPr>
      <w:r w:rsidRPr="006B2E8B">
        <w:t>b.</w:t>
      </w:r>
      <w:r w:rsidRPr="006B2E8B">
        <w:tab/>
        <w:t>This documentation must be sent to the Division of Medical Services,</w:t>
      </w:r>
      <w:r w:rsidRPr="006B2E8B">
        <w:br/>
        <w:t xml:space="preserve">Provider Enrollment Unit.  </w:t>
      </w:r>
      <w:hyperlink r:id="rId10" w:history="1">
        <w:r w:rsidRPr="006B2E8B">
          <w:rPr>
            <w:rStyle w:val="Hyperlink"/>
          </w:rPr>
          <w:t>View or print Division of Medical Services,</w:t>
        </w:r>
        <w:r w:rsidRPr="006B2E8B">
          <w:rPr>
            <w:rStyle w:val="Hyperlink"/>
          </w:rPr>
          <w:br/>
          <w:t>Provider Enrollment Unit contact information</w:t>
        </w:r>
      </w:hyperlink>
      <w:r w:rsidRPr="006B2E8B">
        <w:t>.</w:t>
      </w:r>
    </w:p>
    <w:p w14:paraId="4CC76B06" w14:textId="77777777" w:rsidR="00755961" w:rsidRPr="006B2E8B" w:rsidRDefault="00755961" w:rsidP="00755961">
      <w:pPr>
        <w:pStyle w:val="cnumbered"/>
      </w:pPr>
      <w:r w:rsidRPr="006B2E8B">
        <w:t>2.</w:t>
      </w:r>
      <w:r w:rsidRPr="006B2E8B">
        <w:tab/>
        <w:t xml:space="preserve">Providers failing to submit their current Notice of Grant Award are subject to </w:t>
      </w:r>
      <w:proofErr w:type="gramStart"/>
      <w:r w:rsidRPr="006B2E8B">
        <w:t>suspension</w:t>
      </w:r>
      <w:proofErr w:type="gramEnd"/>
      <w:r w:rsidRPr="006B2E8B">
        <w:t xml:space="preserve"> of payments and termination of their Medicaid enrollment.</w:t>
      </w:r>
    </w:p>
    <w:p w14:paraId="196197FA" w14:textId="77777777" w:rsidR="00755961" w:rsidRPr="006B2E8B" w:rsidRDefault="00755961" w:rsidP="00755961">
      <w:pPr>
        <w:pStyle w:val="CLETTERED"/>
      </w:pPr>
      <w:r w:rsidRPr="006B2E8B">
        <w:t>C.</w:t>
      </w:r>
      <w:r w:rsidRPr="006B2E8B">
        <w:tab/>
        <w:t xml:space="preserve">Non-federally funded health centers, which the Secretary of the Department of Health and Human Services has designated as FQHC ("FQHC look-alikes"), must submit a copy of the </w:t>
      </w:r>
      <w:r w:rsidRPr="006B2E8B">
        <w:lastRenderedPageBreak/>
        <w:t>letter from PHS designating the facility as an "FQHC look-alike" or as a non-federally funded health center.</w:t>
      </w:r>
    </w:p>
    <w:p w14:paraId="501020A5" w14:textId="77777777" w:rsidR="00755961" w:rsidRPr="006B2E8B" w:rsidRDefault="00755961" w:rsidP="00755961">
      <w:pPr>
        <w:pStyle w:val="CLETTERED"/>
      </w:pPr>
      <w:r w:rsidRPr="006B2E8B">
        <w:t>D.</w:t>
      </w:r>
      <w:r w:rsidRPr="006B2E8B">
        <w:tab/>
        <w:t>Non-federally funded health centers that the Secretary of the Department of Health and Human Services determines may, for good cause, qualify through waivers of the PHS requirements, must submit a copy of the letter from PHS designating the facility as an "FQHC look-</w:t>
      </w:r>
      <w:proofErr w:type="gramStart"/>
      <w:r w:rsidRPr="006B2E8B">
        <w:t>alike.”</w:t>
      </w:r>
      <w:proofErr w:type="gramEnd"/>
      <w:r w:rsidRPr="006B2E8B">
        <w:t xml:space="preserve">  Waivers may be granted for up to two (2) years.</w:t>
      </w:r>
    </w:p>
    <w:p w14:paraId="15C13715" w14:textId="77777777" w:rsidR="00755961" w:rsidRPr="006B2E8B" w:rsidRDefault="00755961" w:rsidP="00755961">
      <w:pPr>
        <w:pStyle w:val="CLETTERED"/>
      </w:pPr>
      <w:r w:rsidRPr="006B2E8B">
        <w:t>E.</w:t>
      </w:r>
      <w:r w:rsidRPr="006B2E8B">
        <w:tab/>
        <w:t>An FQHC must meet the Provider Participation and enrollment requirements contained within Section 140.000 of this manual to be eligible to participate in the Arkansas Medicaid Program.</w:t>
      </w:r>
    </w:p>
    <w:p w14:paraId="306ACBA4" w14:textId="77777777" w:rsidR="00755961" w:rsidRPr="006B2E8B" w:rsidRDefault="00755961" w:rsidP="00755961">
      <w:pPr>
        <w:pStyle w:val="CLETTERED"/>
      </w:pPr>
      <w:r w:rsidRPr="006B2E8B">
        <w:t>F.</w:t>
      </w:r>
      <w:r w:rsidRPr="006B2E8B">
        <w:tab/>
      </w:r>
      <w:proofErr w:type="gramStart"/>
      <w:r w:rsidRPr="006B2E8B">
        <w:t>An FQHC</w:t>
      </w:r>
      <w:proofErr w:type="gramEnd"/>
      <w:r w:rsidRPr="006B2E8B">
        <w:t xml:space="preserve"> must execute a Primary Care Physician Participation Agreement form DMS-2608.  </w:t>
      </w:r>
      <w:hyperlink r:id="rId11" w:history="1">
        <w:r w:rsidRPr="006B2E8B">
          <w:rPr>
            <w:rStyle w:val="Hyperlink"/>
          </w:rPr>
          <w:t>View or print Primary Care Physician Participation Agreement Form DMS-2608</w:t>
        </w:r>
      </w:hyperlink>
      <w:r w:rsidRPr="006B2E8B">
        <w:t>.</w:t>
      </w:r>
    </w:p>
    <w:p w14:paraId="0C131019" w14:textId="77777777" w:rsidR="00350453" w:rsidRPr="006B2E8B" w:rsidRDefault="00755961" w:rsidP="00755961">
      <w:pPr>
        <w:pStyle w:val="CLETTERED"/>
      </w:pPr>
      <w:r w:rsidRPr="006B2E8B">
        <w:t>G.</w:t>
      </w:r>
      <w:r w:rsidRPr="006B2E8B">
        <w:tab/>
        <w:t>An FQHC must execute the “Agreement to Participate as a Screening Provider in the Arkansas Child Health Services Early and Periodic Screening, Diagnosis and Treatment (EPSDT)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50453" w:rsidRPr="006B2E8B" w14:paraId="4EC3450B" w14:textId="77777777" w:rsidTr="00996FE4">
        <w:trPr>
          <w:cantSplit/>
        </w:trPr>
        <w:tc>
          <w:tcPr>
            <w:tcW w:w="8122" w:type="dxa"/>
            <w:tcBorders>
              <w:top w:val="single" w:sz="2" w:space="0" w:color="FFFFFF"/>
              <w:left w:val="single" w:sz="2" w:space="0" w:color="FFFFFF"/>
              <w:bottom w:val="single" w:sz="2" w:space="0" w:color="FFFFFF"/>
              <w:right w:val="single" w:sz="6" w:space="0" w:color="FFFFFF"/>
            </w:tcBorders>
          </w:tcPr>
          <w:p w14:paraId="525D476D" w14:textId="77777777" w:rsidR="00350453" w:rsidRPr="006B2E8B" w:rsidRDefault="00350453" w:rsidP="00996FE4">
            <w:pPr>
              <w:pStyle w:val="chead2"/>
            </w:pPr>
            <w:bookmarkStart w:id="6" w:name="_Toc101693014"/>
            <w:bookmarkStart w:id="7" w:name="_Toc105925646"/>
            <w:bookmarkStart w:id="8" w:name="_Toc276382231"/>
            <w:bookmarkStart w:id="9" w:name="_Toc202162587"/>
            <w:r w:rsidRPr="006B2E8B">
              <w:rPr>
                <w:rFonts w:eastAsia="MS Mincho"/>
              </w:rPr>
              <w:t>201.001</w:t>
            </w:r>
            <w:r w:rsidRPr="006B2E8B">
              <w:tab/>
            </w:r>
            <w:r w:rsidRPr="006B2E8B">
              <w:rPr>
                <w:rFonts w:eastAsia="MS Mincho"/>
              </w:rPr>
              <w:t>Electronic Signatures</w:t>
            </w:r>
            <w:bookmarkEnd w:id="6"/>
            <w:bookmarkEnd w:id="7"/>
            <w:bookmarkEnd w:id="8"/>
            <w:bookmarkEnd w:id="9"/>
          </w:p>
        </w:tc>
        <w:tc>
          <w:tcPr>
            <w:tcW w:w="1238" w:type="dxa"/>
            <w:tcBorders>
              <w:top w:val="single" w:sz="2" w:space="0" w:color="FFFFFF"/>
              <w:left w:val="single" w:sz="6" w:space="0" w:color="FFFFFF"/>
              <w:bottom w:val="single" w:sz="2" w:space="0" w:color="FFFFFF"/>
              <w:right w:val="single" w:sz="2" w:space="0" w:color="FFFFFF"/>
            </w:tcBorders>
          </w:tcPr>
          <w:p w14:paraId="5F8A1137" w14:textId="77777777" w:rsidR="00350453" w:rsidRPr="006B2E8B" w:rsidRDefault="00350453" w:rsidP="00996FE4">
            <w:pPr>
              <w:pStyle w:val="cDate2"/>
            </w:pPr>
            <w:r w:rsidRPr="006B2E8B">
              <w:t>10-8-10</w:t>
            </w:r>
          </w:p>
        </w:tc>
      </w:tr>
    </w:tbl>
    <w:p w14:paraId="343C9D93" w14:textId="77777777" w:rsidR="00350453" w:rsidRPr="006B2E8B" w:rsidRDefault="00350453" w:rsidP="00350453">
      <w:pPr>
        <w:pStyle w:val="ctext"/>
      </w:pPr>
      <w:r w:rsidRPr="006B2E8B">
        <w:t xml:space="preserve">Medicaid will accept electronic signatures provided the electronic signatures comply with </w:t>
      </w:r>
      <w:r w:rsidR="000E6DD5" w:rsidRPr="006B2E8B">
        <w:t>Arkansas Code § 25-31-103 et seq</w:t>
      </w:r>
      <w:r w:rsidRPr="006B2E8B">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592824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475DD6E" w14:textId="77777777" w:rsidR="006D15F7" w:rsidRPr="006B2E8B" w:rsidRDefault="006D15F7">
            <w:pPr>
              <w:pStyle w:val="chead2"/>
              <w:numPr>
                <w:ilvl w:val="12"/>
                <w:numId w:val="0"/>
              </w:numPr>
              <w:ind w:left="1440" w:hanging="1440"/>
            </w:pPr>
            <w:bookmarkStart w:id="10" w:name="_Toc40064361"/>
            <w:bookmarkStart w:id="11" w:name="_Toc202162588"/>
            <w:r w:rsidRPr="006B2E8B">
              <w:t>201.100</w:t>
            </w:r>
            <w:r w:rsidRPr="006B2E8B">
              <w:tab/>
              <w:t>Participation Requirements for FQHC "Satellite" Clinics</w:t>
            </w:r>
            <w:bookmarkEnd w:id="10"/>
            <w:bookmarkEnd w:id="11"/>
          </w:p>
        </w:tc>
        <w:tc>
          <w:tcPr>
            <w:tcW w:w="1238" w:type="dxa"/>
            <w:tcBorders>
              <w:top w:val="single" w:sz="6" w:space="0" w:color="FFFFFF"/>
              <w:left w:val="single" w:sz="6" w:space="0" w:color="FFFFFF"/>
              <w:bottom w:val="single" w:sz="6" w:space="0" w:color="FFFFFF"/>
              <w:right w:val="single" w:sz="6" w:space="0" w:color="FFFFFF"/>
            </w:tcBorders>
          </w:tcPr>
          <w:p w14:paraId="08BC9450"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209BAC24" w14:textId="77777777" w:rsidR="006D15F7" w:rsidRPr="006B2E8B" w:rsidRDefault="006D15F7">
      <w:pPr>
        <w:pStyle w:val="ctext"/>
        <w:numPr>
          <w:ilvl w:val="12"/>
          <w:numId w:val="0"/>
        </w:numPr>
        <w:ind w:left="360"/>
      </w:pPr>
      <w:r w:rsidRPr="006B2E8B">
        <w:t xml:space="preserve">FQHCs with more than one clinic must </w:t>
      </w:r>
      <w:proofErr w:type="gramStart"/>
      <w:r w:rsidRPr="006B2E8B">
        <w:t>enroll</w:t>
      </w:r>
      <w:proofErr w:type="gramEnd"/>
      <w:r w:rsidRPr="006B2E8B">
        <w:t xml:space="preserve"> each clinic with Arkansas Medicaid.  Each clinic will be assigned a unique provider number that is linked to the center's federal Employer Identification Number (EIN).  Each clinic must bill Medicaid only for the services it provides.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D02EDE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F27A138" w14:textId="77777777" w:rsidR="006D15F7" w:rsidRPr="006B2E8B" w:rsidRDefault="006D15F7">
            <w:pPr>
              <w:pStyle w:val="chead2"/>
              <w:numPr>
                <w:ilvl w:val="12"/>
                <w:numId w:val="0"/>
              </w:numPr>
              <w:ind w:left="1440" w:hanging="1440"/>
            </w:pPr>
            <w:bookmarkStart w:id="12" w:name="_Toc40064362"/>
            <w:bookmarkStart w:id="13" w:name="_Toc202162589"/>
            <w:r w:rsidRPr="006B2E8B">
              <w:t>201.200</w:t>
            </w:r>
            <w:r w:rsidRPr="006B2E8B">
              <w:tab/>
              <w:t>Enrollment Requirement for Coverage of FQHC Services not Covered by Medicare</w:t>
            </w:r>
            <w:bookmarkEnd w:id="12"/>
            <w:bookmarkEnd w:id="13"/>
          </w:p>
        </w:tc>
        <w:tc>
          <w:tcPr>
            <w:tcW w:w="1238" w:type="dxa"/>
            <w:tcBorders>
              <w:top w:val="single" w:sz="6" w:space="0" w:color="FFFFFF"/>
              <w:left w:val="single" w:sz="6" w:space="0" w:color="FFFFFF"/>
              <w:bottom w:val="single" w:sz="6" w:space="0" w:color="FFFFFF"/>
              <w:right w:val="single" w:sz="6" w:space="0" w:color="FFFFFF"/>
            </w:tcBorders>
          </w:tcPr>
          <w:p w14:paraId="7E60A766"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46D04CA" w14:textId="77777777" w:rsidR="006D15F7" w:rsidRPr="006B2E8B" w:rsidRDefault="005A5544" w:rsidP="005A5544">
      <w:pPr>
        <w:pStyle w:val="CLETTERED"/>
      </w:pPr>
      <w:r w:rsidRPr="006B2E8B">
        <w:t>A.</w:t>
      </w:r>
      <w:r w:rsidRPr="006B2E8B">
        <w:tab/>
      </w:r>
      <w:r w:rsidR="006D15F7" w:rsidRPr="006B2E8B">
        <w:t>Medicaid covers some FQHC services that Medicare does not.</w:t>
      </w:r>
    </w:p>
    <w:p w14:paraId="755DA5BA" w14:textId="77777777" w:rsidR="006D15F7" w:rsidRPr="006B2E8B" w:rsidRDefault="005A5544" w:rsidP="00E6649B">
      <w:pPr>
        <w:pStyle w:val="cnumbered"/>
      </w:pPr>
      <w:r w:rsidRPr="006B2E8B">
        <w:t>1.</w:t>
      </w:r>
      <w:r w:rsidRPr="006B2E8B">
        <w:tab/>
      </w:r>
      <w:r w:rsidR="006D15F7" w:rsidRPr="006B2E8B">
        <w:t xml:space="preserve">For example, </w:t>
      </w:r>
      <w:proofErr w:type="gramStart"/>
      <w:r w:rsidR="006D15F7" w:rsidRPr="006B2E8B">
        <w:t>an inpatient hospital visit may be covered by Medicaid</w:t>
      </w:r>
      <w:proofErr w:type="gramEnd"/>
      <w:r w:rsidR="006D15F7" w:rsidRPr="006B2E8B">
        <w:t xml:space="preserve"> as an FQHC encounter if the physician's agreement with the FQHC includes providing inpatient hospital visits.</w:t>
      </w:r>
    </w:p>
    <w:p w14:paraId="24ABC370" w14:textId="77777777" w:rsidR="006D15F7" w:rsidRPr="006B2E8B" w:rsidRDefault="005A5544" w:rsidP="00E6649B">
      <w:pPr>
        <w:pStyle w:val="cnumbered"/>
      </w:pPr>
      <w:r w:rsidRPr="006B2E8B">
        <w:t>2.</w:t>
      </w:r>
      <w:r w:rsidRPr="006B2E8B">
        <w:tab/>
      </w:r>
      <w:r w:rsidR="006D15F7" w:rsidRPr="006B2E8B">
        <w:t>Medicare does not cover inpatient hospital visits as FQHC encounters, so an FQHC bills Medicare for that service as a physician service.</w:t>
      </w:r>
    </w:p>
    <w:p w14:paraId="6C7564B2" w14:textId="77777777" w:rsidR="006D15F7" w:rsidRPr="006B2E8B" w:rsidRDefault="005A5544" w:rsidP="005A5544">
      <w:pPr>
        <w:pStyle w:val="CLETTERED"/>
      </w:pPr>
      <w:r w:rsidRPr="006B2E8B">
        <w:t>B.</w:t>
      </w:r>
      <w:r w:rsidRPr="006B2E8B">
        <w:tab/>
      </w:r>
      <w:proofErr w:type="gramStart"/>
      <w:r w:rsidR="006D15F7" w:rsidRPr="006B2E8B">
        <w:t>In order for</w:t>
      </w:r>
      <w:proofErr w:type="gramEnd"/>
      <w:r w:rsidR="006D15F7" w:rsidRPr="006B2E8B">
        <w:t xml:space="preserve"> an FQHC to receive the applicable Medicare coinsurance and deductible from Medicaid for the physician service, the FQHC must enroll in the Arkansas Medicaid Medicare/Medicaid Crossover Only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4CFFAF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EA4E5AA" w14:textId="77777777" w:rsidR="006D15F7" w:rsidRPr="006B2E8B" w:rsidRDefault="006D15F7">
            <w:pPr>
              <w:pStyle w:val="chead2"/>
              <w:numPr>
                <w:ilvl w:val="12"/>
                <w:numId w:val="0"/>
              </w:numPr>
              <w:ind w:left="1440" w:hanging="1440"/>
            </w:pPr>
            <w:bookmarkStart w:id="14" w:name="_Toc40064363"/>
            <w:bookmarkStart w:id="15" w:name="_Toc202162590"/>
            <w:r w:rsidRPr="006B2E8B">
              <w:t>201.300</w:t>
            </w:r>
            <w:r w:rsidRPr="006B2E8B">
              <w:tab/>
              <w:t>Participation Requirements for FQHCs Providing "Other Ambulatory Services"</w:t>
            </w:r>
            <w:bookmarkEnd w:id="14"/>
            <w:bookmarkEnd w:id="15"/>
          </w:p>
        </w:tc>
        <w:tc>
          <w:tcPr>
            <w:tcW w:w="1238" w:type="dxa"/>
            <w:tcBorders>
              <w:top w:val="single" w:sz="6" w:space="0" w:color="FFFFFF"/>
              <w:left w:val="single" w:sz="6" w:space="0" w:color="FFFFFF"/>
              <w:bottom w:val="single" w:sz="6" w:space="0" w:color="FFFFFF"/>
              <w:right w:val="single" w:sz="6" w:space="0" w:color="FFFFFF"/>
            </w:tcBorders>
          </w:tcPr>
          <w:p w14:paraId="470BA544"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9DAD634" w14:textId="77777777" w:rsidR="006D15F7" w:rsidRPr="006B2E8B" w:rsidRDefault="00E6649B" w:rsidP="00E6649B">
      <w:pPr>
        <w:pStyle w:val="CLETTERED"/>
      </w:pPr>
      <w:r w:rsidRPr="006B2E8B">
        <w:t>A.</w:t>
      </w:r>
      <w:r w:rsidRPr="006B2E8B">
        <w:tab/>
      </w:r>
      <w:r w:rsidR="006D15F7" w:rsidRPr="006B2E8B">
        <w:t xml:space="preserve">To be eligible for coverage of other ambulatory services, FQHCs must enroll in the Medicaid program in which the </w:t>
      </w:r>
      <w:proofErr w:type="gramStart"/>
      <w:r w:rsidR="006D15F7" w:rsidRPr="006B2E8B">
        <w:t>particular service</w:t>
      </w:r>
      <w:proofErr w:type="gramEnd"/>
      <w:r w:rsidR="006D15F7" w:rsidRPr="006B2E8B">
        <w:t xml:space="preserve"> is covered.</w:t>
      </w:r>
    </w:p>
    <w:p w14:paraId="3B585CE3" w14:textId="77777777" w:rsidR="006D15F7" w:rsidRPr="006B2E8B" w:rsidRDefault="00E6649B" w:rsidP="00E6649B">
      <w:pPr>
        <w:pStyle w:val="cnumbered"/>
      </w:pPr>
      <w:r w:rsidRPr="006B2E8B">
        <w:t>1.</w:t>
      </w:r>
      <w:r w:rsidRPr="006B2E8B">
        <w:tab/>
      </w:r>
      <w:r w:rsidR="006D15F7" w:rsidRPr="006B2E8B">
        <w:t>Participation requirements for each Medicaid program are listed in Section 201.000 of the program’s provider manual.</w:t>
      </w:r>
    </w:p>
    <w:p w14:paraId="47F03BB1" w14:textId="77777777" w:rsidR="006D15F7" w:rsidRPr="006B2E8B" w:rsidRDefault="00E6649B" w:rsidP="00E6649B">
      <w:pPr>
        <w:pStyle w:val="cnumbered"/>
      </w:pPr>
      <w:r w:rsidRPr="006B2E8B">
        <w:t>2.</w:t>
      </w:r>
      <w:r w:rsidRPr="006B2E8B">
        <w:tab/>
      </w:r>
      <w:r w:rsidR="006D15F7" w:rsidRPr="006B2E8B">
        <w:t xml:space="preserve">Provider manuals may be obtained from the Provider Enrollment Unit or downloaded at </w:t>
      </w:r>
      <w:hyperlink r:id="rId12" w:history="1">
        <w:r w:rsidR="00483844" w:rsidRPr="006B2E8B">
          <w:rPr>
            <w:rStyle w:val="Hyperlink"/>
          </w:rPr>
          <w:t>https://medicaid.mmis.arkansas.gov/</w:t>
        </w:r>
      </w:hyperlink>
      <w:r w:rsidR="006D15F7" w:rsidRPr="006B2E8B">
        <w:t>.</w:t>
      </w:r>
    </w:p>
    <w:p w14:paraId="662EDD39" w14:textId="77777777" w:rsidR="006D15F7" w:rsidRPr="006B2E8B" w:rsidRDefault="00E6649B" w:rsidP="00E6649B">
      <w:pPr>
        <w:pStyle w:val="CLETTERED"/>
      </w:pPr>
      <w:r w:rsidRPr="006B2E8B">
        <w:lastRenderedPageBreak/>
        <w:t>B.</w:t>
      </w:r>
      <w:r w:rsidRPr="006B2E8B">
        <w:tab/>
      </w:r>
      <w:r w:rsidR="006D15F7" w:rsidRPr="006B2E8B">
        <w:t xml:space="preserve">See Sections 213.000, 214.200, 220.300, 251.400, 252.130, 252.230 and 262.424 of this </w:t>
      </w:r>
      <w:proofErr w:type="gramStart"/>
      <w:r w:rsidR="006D15F7" w:rsidRPr="006B2E8B">
        <w:t>manual</w:t>
      </w:r>
      <w:proofErr w:type="gramEnd"/>
      <w:r w:rsidR="006D15F7" w:rsidRPr="006B2E8B">
        <w:t xml:space="preserve"> for additional information regarding "other ambulatory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DA24D6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EE9D170" w14:textId="77777777" w:rsidR="006D15F7" w:rsidRPr="006B2E8B" w:rsidRDefault="006D15F7">
            <w:pPr>
              <w:pStyle w:val="chead2"/>
              <w:numPr>
                <w:ilvl w:val="12"/>
                <w:numId w:val="0"/>
              </w:numPr>
              <w:ind w:left="1440" w:hanging="1440"/>
            </w:pPr>
            <w:bookmarkStart w:id="16" w:name="_Toc40064364"/>
            <w:bookmarkStart w:id="17" w:name="_Toc202162591"/>
            <w:r w:rsidRPr="006B2E8B">
              <w:t>202.000</w:t>
            </w:r>
            <w:r w:rsidRPr="006B2E8B">
              <w:tab/>
              <w:t xml:space="preserve">The FQHC’s Role in </w:t>
            </w:r>
            <w:proofErr w:type="gramStart"/>
            <w:r w:rsidRPr="006B2E8B">
              <w:t>the Child</w:t>
            </w:r>
            <w:proofErr w:type="gramEnd"/>
            <w:r w:rsidRPr="006B2E8B">
              <w:t xml:space="preserve"> Health Services (EPSDT) Program</w:t>
            </w:r>
            <w:bookmarkEnd w:id="16"/>
            <w:bookmarkEnd w:id="17"/>
          </w:p>
        </w:tc>
        <w:tc>
          <w:tcPr>
            <w:tcW w:w="1238" w:type="dxa"/>
            <w:tcBorders>
              <w:top w:val="single" w:sz="6" w:space="0" w:color="FFFFFF"/>
              <w:left w:val="single" w:sz="6" w:space="0" w:color="FFFFFF"/>
              <w:bottom w:val="single" w:sz="6" w:space="0" w:color="FFFFFF"/>
              <w:right w:val="single" w:sz="6" w:space="0" w:color="FFFFFF"/>
            </w:tcBorders>
          </w:tcPr>
          <w:p w14:paraId="5B148795"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16811076" w14:textId="77777777" w:rsidR="006D15F7" w:rsidRPr="006B2E8B" w:rsidRDefault="006D15F7">
      <w:pPr>
        <w:pStyle w:val="ctext"/>
        <w:numPr>
          <w:ilvl w:val="12"/>
          <w:numId w:val="0"/>
        </w:numPr>
        <w:ind w:left="360"/>
      </w:pPr>
      <w:r w:rsidRPr="006B2E8B">
        <w:t>The Arkansas Medical Assistance Program includes a Child Health Services/Early and Periodic Screening, Diagnosis and Treatment (EPSDT) Program for eligible individuals less than 21 years of age.  The purpose of this program is to detect and treat health problems in their early stages.</w:t>
      </w:r>
    </w:p>
    <w:p w14:paraId="70614BBE" w14:textId="77777777" w:rsidR="006D15F7" w:rsidRPr="006B2E8B" w:rsidRDefault="00E6649B" w:rsidP="00E6649B">
      <w:pPr>
        <w:pStyle w:val="CLETTERED"/>
      </w:pPr>
      <w:r w:rsidRPr="006B2E8B">
        <w:t>A.</w:t>
      </w:r>
      <w:r w:rsidRPr="006B2E8B">
        <w:tab/>
      </w:r>
      <w:r w:rsidR="006D15F7" w:rsidRPr="006B2E8B">
        <w:t>Participation in the Child Health Services (EPSDT) Program does not require a separate provider number.</w:t>
      </w:r>
    </w:p>
    <w:p w14:paraId="5FA39FCC" w14:textId="77777777" w:rsidR="006D15F7" w:rsidRPr="006B2E8B" w:rsidRDefault="00E6649B" w:rsidP="00E6649B">
      <w:pPr>
        <w:pStyle w:val="CLETTERED"/>
      </w:pPr>
      <w:r w:rsidRPr="006B2E8B">
        <w:t>B.</w:t>
      </w:r>
      <w:r w:rsidRPr="006B2E8B">
        <w:tab/>
      </w:r>
      <w:r w:rsidR="006D15F7" w:rsidRPr="006B2E8B">
        <w:t xml:space="preserve">Arkansas Medicaid providers eligible to be Child Health Services (EPSDT) providers must sign the "Agreement to Participate as a Screening Provider in the Arkansas Child Health Services Early and Periodic Screening, Diagnosis and Treatment (EPSDT) Program" form to participate.  </w:t>
      </w:r>
      <w:hyperlink r:id="rId13" w:history="1">
        <w:r w:rsidR="006D15F7" w:rsidRPr="006B2E8B">
          <w:rPr>
            <w:rStyle w:val="Hyperlink"/>
          </w:rPr>
          <w:t>View or print EPSDT Agreement</w:t>
        </w:r>
      </w:hyperlink>
      <w:r w:rsidR="006D15F7" w:rsidRPr="006B2E8B">
        <w:t>.</w:t>
      </w:r>
    </w:p>
    <w:p w14:paraId="233644FB" w14:textId="77777777" w:rsidR="006D15F7" w:rsidRPr="006B2E8B" w:rsidRDefault="00E6649B" w:rsidP="00E6649B">
      <w:pPr>
        <w:pStyle w:val="CLETTERED"/>
      </w:pPr>
      <w:r w:rsidRPr="006B2E8B">
        <w:t>C.</w:t>
      </w:r>
      <w:r w:rsidRPr="006B2E8B">
        <w:tab/>
      </w:r>
      <w:r w:rsidR="006D15F7" w:rsidRPr="006B2E8B">
        <w:t>Arkansas Medicaid requires FQHCs to participate as Child Health Services (EPSDT) screening providers.</w:t>
      </w:r>
    </w:p>
    <w:p w14:paraId="74010BED" w14:textId="77777777" w:rsidR="006D15F7" w:rsidRPr="006B2E8B" w:rsidRDefault="00E6649B" w:rsidP="00E6649B">
      <w:pPr>
        <w:pStyle w:val="cnumbered"/>
      </w:pPr>
      <w:r w:rsidRPr="006B2E8B">
        <w:t>1.</w:t>
      </w:r>
      <w:r w:rsidRPr="006B2E8B">
        <w:tab/>
      </w:r>
      <w:r w:rsidR="006D15F7" w:rsidRPr="006B2E8B">
        <w:t>Child Health Services procedure codes and billing instructions are in the Child Health Services provider manual.</w:t>
      </w:r>
    </w:p>
    <w:p w14:paraId="67336C85" w14:textId="4FF3BCE9" w:rsidR="006D15F7" w:rsidRPr="006B2E8B" w:rsidRDefault="00E6649B" w:rsidP="00E6649B">
      <w:pPr>
        <w:pStyle w:val="cnumbered"/>
      </w:pPr>
      <w:r w:rsidRPr="006B2E8B">
        <w:t>2.</w:t>
      </w:r>
      <w:r w:rsidRPr="006B2E8B">
        <w:tab/>
      </w:r>
      <w:r w:rsidR="006D15F7" w:rsidRPr="006B2E8B">
        <w:t xml:space="preserve">For additional information regarding Child Health Services, contact Central Child Health Services.  </w:t>
      </w:r>
      <w:hyperlink r:id="rId14" w:history="1">
        <w:r w:rsidR="006D15F7" w:rsidRPr="006B2E8B">
          <w:rPr>
            <w:rStyle w:val="Hyperlink"/>
          </w:rPr>
          <w:t>View or print the Central Child Health Services contact information</w:t>
        </w:r>
      </w:hyperlink>
      <w:r w:rsidR="006D15F7" w:rsidRPr="006B2E8B">
        <w:t>.</w:t>
      </w:r>
    </w:p>
    <w:p w14:paraId="3AD71A09" w14:textId="77777777" w:rsidR="006D15F7" w:rsidRPr="006B2E8B" w:rsidRDefault="00E6649B" w:rsidP="00E6649B">
      <w:pPr>
        <w:pStyle w:val="CLETTERED"/>
      </w:pPr>
      <w:r w:rsidRPr="006B2E8B">
        <w:t>D.</w:t>
      </w:r>
      <w:r w:rsidRPr="006B2E8B">
        <w:tab/>
      </w:r>
      <w:r w:rsidR="006D15F7" w:rsidRPr="006B2E8B">
        <w:t xml:space="preserve">FQHCs, as single-entity primary care physician (PCP) participants, are required to ensure that Child Health Services (EPSDT) medical and hearing screens and ARKids First-B preventive health medical and hearing screens (except newborn screens) are administered to the eligible children on their caseloads.  FQHCs not performing the required screens may refer children to other qualified Medicaid-enrolled providers.  Qualified Medicaid providers to whom </w:t>
      </w:r>
      <w:proofErr w:type="gramStart"/>
      <w:r w:rsidR="006D15F7" w:rsidRPr="006B2E8B">
        <w:t>referral</w:t>
      </w:r>
      <w:proofErr w:type="gramEnd"/>
      <w:r w:rsidR="006D15F7" w:rsidRPr="006B2E8B">
        <w:t xml:space="preserve"> may be made include Medicaid-enrolled FQHCs, Rural Health Clinics (RHCs), physicians and nurse practitioners.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7A30B9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90E9E70" w14:textId="77777777" w:rsidR="006D15F7" w:rsidRPr="006B2E8B" w:rsidRDefault="006D15F7">
            <w:pPr>
              <w:pStyle w:val="chead2"/>
              <w:numPr>
                <w:ilvl w:val="12"/>
                <w:numId w:val="0"/>
              </w:numPr>
              <w:ind w:left="1440" w:hanging="1440"/>
            </w:pPr>
            <w:bookmarkStart w:id="18" w:name="_Toc40064365"/>
            <w:bookmarkStart w:id="19" w:name="_Toc202162592"/>
            <w:r w:rsidRPr="006B2E8B">
              <w:t>202.100</w:t>
            </w:r>
            <w:r w:rsidRPr="006B2E8B">
              <w:tab/>
              <w:t>The FQHC’s Role in the Vaccines for Children (VFC) Program</w:t>
            </w:r>
            <w:bookmarkEnd w:id="18"/>
            <w:bookmarkEnd w:id="19"/>
          </w:p>
        </w:tc>
        <w:tc>
          <w:tcPr>
            <w:tcW w:w="1238" w:type="dxa"/>
            <w:tcBorders>
              <w:top w:val="single" w:sz="6" w:space="0" w:color="FFFFFF"/>
              <w:left w:val="single" w:sz="6" w:space="0" w:color="FFFFFF"/>
              <w:bottom w:val="single" w:sz="6" w:space="0" w:color="FFFFFF"/>
              <w:right w:val="single" w:sz="6" w:space="0" w:color="FFFFFF"/>
            </w:tcBorders>
          </w:tcPr>
          <w:p w14:paraId="70E1205A"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1500731B" w14:textId="3959D0E5" w:rsidR="006D15F7" w:rsidRPr="006B2E8B" w:rsidRDefault="006D15F7">
      <w:pPr>
        <w:pStyle w:val="ctext"/>
        <w:numPr>
          <w:ilvl w:val="12"/>
          <w:numId w:val="0"/>
        </w:numPr>
        <w:ind w:left="360"/>
      </w:pPr>
      <w:r w:rsidRPr="006B2E8B">
        <w:t xml:space="preserve">FQHCs may enroll in the Vaccines for Children (VFC) Program by contacting the Arkansas Department of Health.  </w:t>
      </w:r>
      <w:hyperlink r:id="rId15" w:history="1">
        <w:r w:rsidRPr="006B2E8B">
          <w:rPr>
            <w:rStyle w:val="Hyperlink"/>
          </w:rPr>
          <w:t>View or print Arkansas Department of Health contact information</w:t>
        </w:r>
      </w:hyperlink>
      <w:r w:rsidRPr="006B2E8B">
        <w:t xml:space="preserve">.  The Arkansas Department of Health furnishes available vaccines free to participating physicians and clinics.  </w:t>
      </w:r>
    </w:p>
    <w:p w14:paraId="4D4C7EB7" w14:textId="77777777" w:rsidR="006D15F7" w:rsidRPr="006B2E8B" w:rsidRDefault="006D15F7">
      <w:pPr>
        <w:pStyle w:val="ctext"/>
        <w:numPr>
          <w:ilvl w:val="12"/>
          <w:numId w:val="0"/>
        </w:numPr>
        <w:ind w:left="360"/>
      </w:pPr>
      <w:r w:rsidRPr="006B2E8B">
        <w:t xml:space="preserve">Arkansas Medicaid covers the administration of the vaccine.  FQHCs that do not participate in the VFC Program may refer their patients to participating clinics or physicians for childhood disease immunizations.  See Sections 251.510, 252.141 and 252.241 for reimbursement methodology.  See the Arkansas Medicaid Child Health Services provider manual for medical criteria, </w:t>
      </w:r>
      <w:proofErr w:type="gramStart"/>
      <w:r w:rsidRPr="006B2E8B">
        <w:t>coverage</w:t>
      </w:r>
      <w:proofErr w:type="gramEnd"/>
      <w:r w:rsidRPr="006B2E8B">
        <w:t xml:space="preserve"> and billing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41DC9" w:rsidRPr="006B2E8B" w14:paraId="6EA43E8B" w14:textId="77777777" w:rsidTr="00F51D4E">
        <w:trPr>
          <w:cantSplit/>
        </w:trPr>
        <w:tc>
          <w:tcPr>
            <w:tcW w:w="8122" w:type="dxa"/>
            <w:tcBorders>
              <w:top w:val="single" w:sz="6" w:space="0" w:color="FFFFFF"/>
              <w:left w:val="single" w:sz="6" w:space="0" w:color="FFFFFF"/>
              <w:bottom w:val="single" w:sz="6" w:space="0" w:color="FFFFFF"/>
              <w:right w:val="single" w:sz="6" w:space="0" w:color="FFFFFF"/>
            </w:tcBorders>
          </w:tcPr>
          <w:p w14:paraId="0AA61D42" w14:textId="77777777" w:rsidR="00A41DC9" w:rsidRPr="006B2E8B" w:rsidRDefault="00A41DC9" w:rsidP="00F51D4E">
            <w:pPr>
              <w:pStyle w:val="chead2"/>
            </w:pPr>
            <w:bookmarkStart w:id="20" w:name="_Toc129662973"/>
            <w:bookmarkStart w:id="21" w:name="_Toc202162593"/>
            <w:r w:rsidRPr="006B2E8B">
              <w:t>202.200</w:t>
            </w:r>
            <w:r w:rsidRPr="006B2E8B">
              <w:tab/>
              <w:t>The FQHC’s Role in the Arkansas Medicaid Pharmacy Program</w:t>
            </w:r>
            <w:bookmarkEnd w:id="20"/>
            <w:bookmarkEnd w:id="21"/>
          </w:p>
        </w:tc>
        <w:tc>
          <w:tcPr>
            <w:tcW w:w="1238" w:type="dxa"/>
            <w:tcBorders>
              <w:top w:val="single" w:sz="6" w:space="0" w:color="FFFFFF"/>
              <w:left w:val="single" w:sz="6" w:space="0" w:color="FFFFFF"/>
              <w:bottom w:val="single" w:sz="6" w:space="0" w:color="FFFFFF"/>
              <w:right w:val="single" w:sz="6" w:space="0" w:color="FFFFFF"/>
            </w:tcBorders>
          </w:tcPr>
          <w:p w14:paraId="21BD1A3C" w14:textId="77777777" w:rsidR="00A41DC9" w:rsidRPr="006B2E8B" w:rsidRDefault="009203C1" w:rsidP="000C47AA">
            <w:pPr>
              <w:pStyle w:val="cDate2"/>
              <w:numPr>
                <w:ilvl w:val="12"/>
                <w:numId w:val="0"/>
              </w:numPr>
            </w:pPr>
            <w:r w:rsidRPr="006B2E8B">
              <w:t>8-1-21</w:t>
            </w:r>
          </w:p>
        </w:tc>
      </w:tr>
    </w:tbl>
    <w:p w14:paraId="2E005707" w14:textId="77777777" w:rsidR="009203C1" w:rsidRPr="006B2E8B" w:rsidRDefault="009203C1" w:rsidP="009203C1">
      <w:pPr>
        <w:pStyle w:val="ctext"/>
      </w:pPr>
      <w:r w:rsidRPr="006B2E8B">
        <w:t xml:space="preserve">Medicaid covers prescription drugs in accordance with rules set forth in this section (Section 202.200) and pursuant to orders (prescriptions) from authorized prescribers.  The Arkansas Medicaid Program complies with the Medicaid Prudent Pharmaceutical Purchasing Program (MPPPP) that was enacted as part of the Omnibus Budget Reconciliation Act (OBRA) of 1990.  </w:t>
      </w:r>
      <w:r w:rsidRPr="006B2E8B">
        <w:rPr>
          <w:b/>
          <w:bCs/>
        </w:rPr>
        <w:t xml:space="preserve">This law requires Medicaid to limit coverage to drugs manufactured by pharmaceutical companies that have signed rebate agreements.  </w:t>
      </w:r>
      <w:r w:rsidRPr="006B2E8B">
        <w:t>Except for drugs in the categories excluded from coverage, Arkansas Medicaid covers all drug products manufactured by companies with current rebate agreements and listed labeler codes.</w:t>
      </w:r>
    </w:p>
    <w:p w14:paraId="5E177D2F" w14:textId="77777777" w:rsidR="009203C1" w:rsidRPr="006B2E8B" w:rsidRDefault="009203C1" w:rsidP="009203C1">
      <w:pPr>
        <w:pStyle w:val="CLETTERED"/>
      </w:pPr>
      <w:hyperlink r:id="rId16" w:history="1">
        <w:r w:rsidRPr="006B2E8B">
          <w:rPr>
            <w:rStyle w:val="Hyperlink"/>
          </w:rPr>
          <w:t>Click here to obtain the latest information regarding prescription drug coverage.</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CCBC72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62A6584" w14:textId="77777777" w:rsidR="006D15F7" w:rsidRPr="006B2E8B" w:rsidRDefault="006D15F7">
            <w:pPr>
              <w:pStyle w:val="chead2"/>
              <w:numPr>
                <w:ilvl w:val="12"/>
                <w:numId w:val="0"/>
              </w:numPr>
              <w:ind w:left="1440" w:hanging="1440"/>
            </w:pPr>
            <w:bookmarkStart w:id="22" w:name="_Toc40064366"/>
            <w:bookmarkStart w:id="23" w:name="_Toc202162594"/>
            <w:r w:rsidRPr="006B2E8B">
              <w:lastRenderedPageBreak/>
              <w:t>203.000</w:t>
            </w:r>
            <w:r w:rsidRPr="006B2E8B">
              <w:tab/>
              <w:t>Primary Care Physician (PCP) Twenty-four Hour Patient Access Requirement</w:t>
            </w:r>
            <w:bookmarkEnd w:id="22"/>
            <w:bookmarkEnd w:id="23"/>
          </w:p>
        </w:tc>
        <w:tc>
          <w:tcPr>
            <w:tcW w:w="1238" w:type="dxa"/>
            <w:tcBorders>
              <w:top w:val="single" w:sz="6" w:space="0" w:color="FFFFFF"/>
              <w:left w:val="single" w:sz="6" w:space="0" w:color="FFFFFF"/>
              <w:bottom w:val="single" w:sz="6" w:space="0" w:color="FFFFFF"/>
              <w:right w:val="single" w:sz="6" w:space="0" w:color="FFFFFF"/>
            </w:tcBorders>
          </w:tcPr>
          <w:p w14:paraId="638552F1"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0A4410C" w14:textId="77777777" w:rsidR="006D15F7" w:rsidRPr="006B2E8B" w:rsidRDefault="006D15F7">
      <w:pPr>
        <w:pStyle w:val="ctext"/>
        <w:numPr>
          <w:ilvl w:val="12"/>
          <w:numId w:val="0"/>
        </w:numPr>
        <w:ind w:left="360"/>
      </w:pPr>
      <w:r w:rsidRPr="006B2E8B">
        <w:t xml:space="preserve">PCPs must maintain 24-hour access to information, </w:t>
      </w:r>
      <w:proofErr w:type="gramStart"/>
      <w:r w:rsidRPr="006B2E8B">
        <w:t>referrals</w:t>
      </w:r>
      <w:proofErr w:type="gramEnd"/>
      <w:r w:rsidRPr="006B2E8B">
        <w:t xml:space="preserve"> and emergency services for their Medicaid enrollees.  No PCP, including single-entity PCPs, such as Federally Qualified Health Centers, may issue standing orders or standing referrals to hospital outpatient departments.</w:t>
      </w:r>
    </w:p>
    <w:p w14:paraId="386011F9" w14:textId="77777777" w:rsidR="006D15F7" w:rsidRPr="006B2E8B" w:rsidRDefault="00E6649B" w:rsidP="00E6649B">
      <w:pPr>
        <w:pStyle w:val="CLETTERED"/>
      </w:pPr>
      <w:r w:rsidRPr="006B2E8B">
        <w:t>A.</w:t>
      </w:r>
      <w:r w:rsidRPr="006B2E8B">
        <w:tab/>
      </w:r>
      <w:r w:rsidR="006D15F7" w:rsidRPr="006B2E8B">
        <w:t>Individuals telephoning their PCP's office during the hours that the office is closed must be able to contact a live person.</w:t>
      </w:r>
    </w:p>
    <w:p w14:paraId="589E422B" w14:textId="77777777" w:rsidR="006D15F7" w:rsidRPr="006B2E8B" w:rsidRDefault="00E6649B" w:rsidP="00E6649B">
      <w:pPr>
        <w:pStyle w:val="cnumbered"/>
      </w:pPr>
      <w:r w:rsidRPr="006B2E8B">
        <w:t>1.</w:t>
      </w:r>
      <w:r w:rsidRPr="006B2E8B">
        <w:tab/>
      </w:r>
      <w:r w:rsidR="006D15F7" w:rsidRPr="006B2E8B">
        <w:t>A recorded message may direct the caller to the number of another telephone, which will be answered by a live person who is authorized to substitute for the PCP or authorized to contact the PCP directly.</w:t>
      </w:r>
    </w:p>
    <w:p w14:paraId="4A5D4037" w14:textId="77777777" w:rsidR="006D15F7" w:rsidRPr="006B2E8B" w:rsidRDefault="00E6649B" w:rsidP="00E6649B">
      <w:pPr>
        <w:pStyle w:val="cnumbered"/>
      </w:pPr>
      <w:r w:rsidRPr="006B2E8B">
        <w:t>2.</w:t>
      </w:r>
      <w:r w:rsidRPr="006B2E8B">
        <w:tab/>
      </w:r>
      <w:r w:rsidR="006D15F7" w:rsidRPr="006B2E8B">
        <w:t>Alternatively, the machine's recording may direct the caller to leave a message.  If the recording instructs the caller to leave a message, it must also affirm that a live person, who is authorized to substitute for the PCP or authorized to contact directly the PCP or the PCP substitute, will return the call.</w:t>
      </w:r>
    </w:p>
    <w:p w14:paraId="76755A97" w14:textId="77777777" w:rsidR="006D15F7" w:rsidRPr="006B2E8B" w:rsidRDefault="00E6649B" w:rsidP="00E6649B">
      <w:pPr>
        <w:pStyle w:val="cnumbered"/>
      </w:pPr>
      <w:r w:rsidRPr="006B2E8B">
        <w:t>3.</w:t>
      </w:r>
      <w:r w:rsidRPr="006B2E8B">
        <w:tab/>
      </w:r>
      <w:r w:rsidR="006D15F7" w:rsidRPr="006B2E8B">
        <w:t>PCPs may use an answering service or a physicians’ exchange.  The same conditions apply as with the use of answering machines.  The caller must be able to speak to a live person who is authorized to substitute for the PCP or who is authorized to contact the PCP or PCP substitute directly.</w:t>
      </w:r>
    </w:p>
    <w:p w14:paraId="0F21402E" w14:textId="77777777" w:rsidR="006D15F7" w:rsidRPr="006B2E8B" w:rsidRDefault="00E6649B" w:rsidP="00E6649B">
      <w:pPr>
        <w:pStyle w:val="CLETTERED"/>
      </w:pPr>
      <w:r w:rsidRPr="006B2E8B">
        <w:t>B.</w:t>
      </w:r>
      <w:r w:rsidRPr="006B2E8B">
        <w:tab/>
      </w:r>
      <w:r w:rsidR="006D15F7" w:rsidRPr="006B2E8B">
        <w:t>Regardless of the method of access employed by the PCP, a caller must receive an appropriate response within thirty minutes of his or her initial call.  This means that a patient must receive medical instructions within thirty minutes of his or her initial call, whether he or she initially leaves a message or speaks with a live person and without regard to the type or number of intermediaries involved.</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91ACE" w:rsidRPr="006B2E8B" w14:paraId="033C09B1" w14:textId="77777777" w:rsidTr="00782EC3">
        <w:trPr>
          <w:cantSplit/>
        </w:trPr>
        <w:tc>
          <w:tcPr>
            <w:tcW w:w="8122" w:type="dxa"/>
            <w:tcBorders>
              <w:top w:val="single" w:sz="6" w:space="0" w:color="FFFFFF"/>
              <w:left w:val="single" w:sz="6" w:space="0" w:color="FFFFFF"/>
              <w:bottom w:val="single" w:sz="6" w:space="0" w:color="FFFFFF"/>
              <w:right w:val="single" w:sz="6" w:space="0" w:color="FFFFFF"/>
            </w:tcBorders>
          </w:tcPr>
          <w:p w14:paraId="09A7D8CA" w14:textId="77777777" w:rsidR="00C91ACE" w:rsidRPr="006B2E8B" w:rsidRDefault="00C91ACE" w:rsidP="00782EC3">
            <w:pPr>
              <w:pStyle w:val="chead2"/>
            </w:pPr>
            <w:r w:rsidRPr="006B2E8B">
              <w:br w:type="page"/>
            </w:r>
            <w:r w:rsidRPr="006B2E8B">
              <w:br w:type="page"/>
            </w:r>
            <w:bookmarkStart w:id="24" w:name="_Toc202162595"/>
            <w:r w:rsidRPr="006B2E8B">
              <w:t>204.000</w:t>
            </w:r>
            <w:r w:rsidRPr="006B2E8B">
              <w:tab/>
              <w:t>Medical Records that FQHC are Required to Keep</w:t>
            </w:r>
            <w:bookmarkEnd w:id="24"/>
          </w:p>
        </w:tc>
        <w:tc>
          <w:tcPr>
            <w:tcW w:w="1238" w:type="dxa"/>
            <w:tcBorders>
              <w:top w:val="single" w:sz="6" w:space="0" w:color="FFFFFF"/>
              <w:left w:val="single" w:sz="6" w:space="0" w:color="FFFFFF"/>
              <w:bottom w:val="single" w:sz="6" w:space="0" w:color="FFFFFF"/>
              <w:right w:val="single" w:sz="6" w:space="0" w:color="FFFFFF"/>
            </w:tcBorders>
          </w:tcPr>
          <w:p w14:paraId="07347A14" w14:textId="77777777" w:rsidR="00C91ACE" w:rsidRPr="006B2E8B" w:rsidRDefault="00C91ACE" w:rsidP="00782EC3">
            <w:pPr>
              <w:pStyle w:val="cDate2"/>
            </w:pPr>
            <w:r w:rsidRPr="006B2E8B">
              <w:t>10-15-09</w:t>
            </w:r>
          </w:p>
        </w:tc>
      </w:tr>
    </w:tbl>
    <w:p w14:paraId="314C7629" w14:textId="77777777" w:rsidR="00C91ACE" w:rsidRPr="006B2E8B" w:rsidRDefault="00C91ACE" w:rsidP="00C91ACE">
      <w:pPr>
        <w:pStyle w:val="ctext"/>
        <w:rPr>
          <w:rFonts w:eastAsia="MS Mincho"/>
        </w:rPr>
      </w:pPr>
      <w:r w:rsidRPr="006B2E8B">
        <w:rPr>
          <w:rFonts w:eastAsia="MS Mincho"/>
        </w:rPr>
        <w:t xml:space="preserve">All Medicaid providers are required to maintain records and documentation as outlined in Section 140.000 of this manual.  FQHC are also required to keep the following documentation and records: </w:t>
      </w:r>
    </w:p>
    <w:p w14:paraId="5D5DD8D7" w14:textId="77777777" w:rsidR="00C91ACE" w:rsidRPr="006B2E8B" w:rsidRDefault="00C91ACE" w:rsidP="00C91ACE">
      <w:pPr>
        <w:spacing w:before="60" w:after="60"/>
        <w:ind w:left="1440" w:hanging="533"/>
        <w:rPr>
          <w:rFonts w:eastAsia="MS Mincho"/>
          <w:sz w:val="21"/>
        </w:rPr>
      </w:pPr>
      <w:r w:rsidRPr="006B2E8B">
        <w:rPr>
          <w:rFonts w:eastAsia="MS Mincho"/>
          <w:sz w:val="21"/>
        </w:rPr>
        <w:t>1.</w:t>
      </w:r>
      <w:r w:rsidRPr="006B2E8B">
        <w:rPr>
          <w:rFonts w:eastAsia="MS Mincho"/>
          <w:sz w:val="21"/>
        </w:rPr>
        <w:tab/>
        <w:t>History and physical examinations,</w:t>
      </w:r>
    </w:p>
    <w:p w14:paraId="745487B2" w14:textId="77777777" w:rsidR="00C91ACE" w:rsidRPr="006B2E8B" w:rsidRDefault="00C91ACE" w:rsidP="00C91ACE">
      <w:pPr>
        <w:spacing w:before="60" w:after="60"/>
        <w:ind w:left="1440" w:hanging="533"/>
        <w:rPr>
          <w:rFonts w:eastAsia="MS Mincho"/>
          <w:sz w:val="21"/>
        </w:rPr>
      </w:pPr>
      <w:r w:rsidRPr="006B2E8B">
        <w:rPr>
          <w:rFonts w:eastAsia="MS Mincho"/>
          <w:sz w:val="21"/>
        </w:rPr>
        <w:t>2.</w:t>
      </w:r>
      <w:r w:rsidRPr="006B2E8B">
        <w:rPr>
          <w:rFonts w:eastAsia="MS Mincho"/>
          <w:sz w:val="21"/>
        </w:rPr>
        <w:tab/>
        <w:t>The specific services provided,</w:t>
      </w:r>
    </w:p>
    <w:p w14:paraId="69E69E77" w14:textId="77777777" w:rsidR="00C91ACE" w:rsidRPr="006B2E8B" w:rsidRDefault="00C91ACE" w:rsidP="00C91ACE">
      <w:pPr>
        <w:spacing w:before="60" w:after="60"/>
        <w:ind w:left="1440" w:hanging="533"/>
        <w:rPr>
          <w:rFonts w:eastAsia="MS Mincho"/>
          <w:sz w:val="21"/>
        </w:rPr>
      </w:pPr>
      <w:r w:rsidRPr="006B2E8B">
        <w:rPr>
          <w:rFonts w:eastAsia="MS Mincho"/>
          <w:sz w:val="21"/>
        </w:rPr>
        <w:t>3.</w:t>
      </w:r>
      <w:r w:rsidRPr="006B2E8B">
        <w:rPr>
          <w:rFonts w:eastAsia="MS Mincho"/>
          <w:sz w:val="21"/>
        </w:rPr>
        <w:tab/>
        <w:t>The date and actual time the services were provided,</w:t>
      </w:r>
    </w:p>
    <w:p w14:paraId="4F5A1D29" w14:textId="77777777" w:rsidR="00C91ACE" w:rsidRPr="006B2E8B" w:rsidRDefault="00C91ACE" w:rsidP="00C91ACE">
      <w:pPr>
        <w:spacing w:before="60" w:after="60"/>
        <w:ind w:left="1440" w:hanging="533"/>
        <w:rPr>
          <w:rFonts w:eastAsia="MS Mincho"/>
          <w:sz w:val="21"/>
        </w:rPr>
      </w:pPr>
      <w:r w:rsidRPr="006B2E8B">
        <w:rPr>
          <w:rFonts w:eastAsia="MS Mincho"/>
          <w:sz w:val="21"/>
        </w:rPr>
        <w:t>4.</w:t>
      </w:r>
      <w:r w:rsidRPr="006B2E8B">
        <w:rPr>
          <w:rFonts w:eastAsia="MS Mincho"/>
          <w:sz w:val="21"/>
        </w:rPr>
        <w:tab/>
        <w:t>The provider of the services,</w:t>
      </w:r>
    </w:p>
    <w:p w14:paraId="4F1D973E" w14:textId="77777777" w:rsidR="00C91ACE" w:rsidRPr="006B2E8B" w:rsidRDefault="00C91ACE" w:rsidP="00C91ACE">
      <w:pPr>
        <w:spacing w:before="60" w:after="60"/>
        <w:ind w:left="1440" w:hanging="533"/>
        <w:rPr>
          <w:rFonts w:eastAsia="MS Mincho"/>
          <w:sz w:val="21"/>
        </w:rPr>
      </w:pPr>
      <w:r w:rsidRPr="006B2E8B">
        <w:rPr>
          <w:rFonts w:eastAsia="MS Mincho"/>
          <w:sz w:val="21"/>
        </w:rPr>
        <w:t>5.</w:t>
      </w:r>
      <w:r w:rsidRPr="006B2E8B">
        <w:rPr>
          <w:rFonts w:eastAsia="MS Mincho"/>
          <w:sz w:val="21"/>
        </w:rPr>
        <w:tab/>
        <w:t>The chief complaint on each visit,</w:t>
      </w:r>
    </w:p>
    <w:p w14:paraId="3D400E33" w14:textId="77777777" w:rsidR="00C91ACE" w:rsidRPr="006B2E8B" w:rsidRDefault="00C91ACE" w:rsidP="00C91ACE">
      <w:pPr>
        <w:spacing w:before="60" w:after="60"/>
        <w:ind w:left="1440" w:hanging="533"/>
        <w:rPr>
          <w:rFonts w:eastAsia="MS Mincho"/>
          <w:sz w:val="21"/>
        </w:rPr>
      </w:pPr>
      <w:r w:rsidRPr="006B2E8B">
        <w:rPr>
          <w:rFonts w:eastAsia="MS Mincho"/>
          <w:sz w:val="21"/>
        </w:rPr>
        <w:t>6.</w:t>
      </w:r>
      <w:r w:rsidRPr="006B2E8B">
        <w:rPr>
          <w:rFonts w:eastAsia="MS Mincho"/>
          <w:sz w:val="21"/>
        </w:rPr>
        <w:tab/>
        <w:t>Tests and results,</w:t>
      </w:r>
    </w:p>
    <w:p w14:paraId="5D6D8AD9" w14:textId="77777777" w:rsidR="00C91ACE" w:rsidRPr="006B2E8B" w:rsidRDefault="00C91ACE" w:rsidP="00C91ACE">
      <w:pPr>
        <w:spacing w:before="60" w:after="60"/>
        <w:ind w:left="1440" w:hanging="533"/>
        <w:rPr>
          <w:rFonts w:eastAsia="MS Mincho"/>
          <w:sz w:val="21"/>
        </w:rPr>
      </w:pPr>
      <w:r w:rsidRPr="006B2E8B">
        <w:rPr>
          <w:rFonts w:eastAsia="MS Mincho"/>
          <w:sz w:val="21"/>
        </w:rPr>
        <w:t>7.</w:t>
      </w:r>
      <w:r w:rsidRPr="006B2E8B">
        <w:rPr>
          <w:rFonts w:eastAsia="MS Mincho"/>
          <w:sz w:val="21"/>
        </w:rPr>
        <w:tab/>
        <w:t>The diagnosis or diagnoses,</w:t>
      </w:r>
    </w:p>
    <w:p w14:paraId="4E749C3E" w14:textId="77777777" w:rsidR="00C91ACE" w:rsidRPr="006B2E8B" w:rsidRDefault="00C91ACE" w:rsidP="00C91ACE">
      <w:pPr>
        <w:spacing w:before="60" w:after="60"/>
        <w:ind w:left="1440" w:hanging="533"/>
        <w:rPr>
          <w:rFonts w:eastAsia="MS Mincho"/>
          <w:sz w:val="21"/>
        </w:rPr>
      </w:pPr>
      <w:r w:rsidRPr="006B2E8B">
        <w:rPr>
          <w:rFonts w:eastAsia="MS Mincho"/>
          <w:sz w:val="21"/>
        </w:rPr>
        <w:t>8.</w:t>
      </w:r>
      <w:r w:rsidRPr="006B2E8B">
        <w:rPr>
          <w:rFonts w:eastAsia="MS Mincho"/>
          <w:sz w:val="21"/>
        </w:rPr>
        <w:tab/>
        <w:t>Treatment, including prescriptions,</w:t>
      </w:r>
    </w:p>
    <w:p w14:paraId="6A9AE890" w14:textId="77777777" w:rsidR="00C91ACE" w:rsidRPr="006B2E8B" w:rsidRDefault="00C91ACE" w:rsidP="00C91ACE">
      <w:pPr>
        <w:spacing w:before="60" w:after="60"/>
        <w:ind w:left="1440" w:hanging="533"/>
        <w:rPr>
          <w:rFonts w:eastAsia="MS Mincho"/>
          <w:sz w:val="21"/>
        </w:rPr>
      </w:pPr>
      <w:r w:rsidRPr="006B2E8B">
        <w:rPr>
          <w:rFonts w:eastAsia="MS Mincho"/>
          <w:sz w:val="21"/>
        </w:rPr>
        <w:t>9.</w:t>
      </w:r>
      <w:r w:rsidRPr="006B2E8B">
        <w:rPr>
          <w:rFonts w:eastAsia="MS Mincho"/>
          <w:sz w:val="21"/>
        </w:rPr>
        <w:tab/>
        <w:t>The signature or initials of the physician or attending health professional who had face-to-face contact with the patient (for each such contact) and</w:t>
      </w:r>
    </w:p>
    <w:p w14:paraId="53D8C7AF" w14:textId="77777777" w:rsidR="00C91ACE" w:rsidRPr="006B2E8B" w:rsidRDefault="00C91ACE" w:rsidP="00C91ACE">
      <w:pPr>
        <w:spacing w:before="60" w:after="60"/>
        <w:ind w:left="1440" w:hanging="533"/>
        <w:rPr>
          <w:rFonts w:eastAsia="MS Mincho"/>
          <w:sz w:val="21"/>
        </w:rPr>
      </w:pPr>
      <w:r w:rsidRPr="006B2E8B">
        <w:rPr>
          <w:rFonts w:eastAsia="MS Mincho"/>
          <w:sz w:val="21"/>
        </w:rPr>
        <w:t>10.</w:t>
      </w:r>
      <w:r w:rsidRPr="006B2E8B">
        <w:rPr>
          <w:rFonts w:eastAsia="MS Mincho"/>
          <w:sz w:val="21"/>
        </w:rPr>
        <w:tab/>
        <w:t>The setting in which the services were furnished.</w:t>
      </w:r>
    </w:p>
    <w:p w14:paraId="3E716994" w14:textId="77777777" w:rsidR="008C5960" w:rsidRPr="006B2E8B" w:rsidRDefault="008C5960" w:rsidP="00641270">
      <w:pPr>
        <w:pStyle w:val="ctablespace"/>
      </w:pPr>
    </w:p>
    <w:tbl>
      <w:tblPr>
        <w:tblW w:w="0" w:type="auto"/>
        <w:tblLayout w:type="fixed"/>
        <w:tblLook w:val="0000" w:firstRow="0" w:lastRow="0" w:firstColumn="0" w:lastColumn="0" w:noHBand="0" w:noVBand="0"/>
      </w:tblPr>
      <w:tblGrid>
        <w:gridCol w:w="8122"/>
        <w:gridCol w:w="1238"/>
      </w:tblGrid>
      <w:tr w:rsidR="006D15F7" w:rsidRPr="006B2E8B" w14:paraId="54EF91E2" w14:textId="77777777" w:rsidTr="00D62AF5">
        <w:trPr>
          <w:cantSplit/>
        </w:trPr>
        <w:tc>
          <w:tcPr>
            <w:tcW w:w="8122" w:type="dxa"/>
            <w:shd w:val="clear" w:color="auto" w:fill="1D73D6"/>
          </w:tcPr>
          <w:p w14:paraId="1FEC26EA" w14:textId="77777777" w:rsidR="006D15F7" w:rsidRPr="006B2E8B" w:rsidRDefault="006D15F7">
            <w:pPr>
              <w:pStyle w:val="chead1"/>
              <w:numPr>
                <w:ilvl w:val="12"/>
                <w:numId w:val="0"/>
              </w:numPr>
              <w:ind w:left="1440" w:hanging="1440"/>
            </w:pPr>
            <w:bookmarkStart w:id="25" w:name="_Toc40064368"/>
            <w:bookmarkStart w:id="26" w:name="_Toc202162596"/>
            <w:r w:rsidRPr="006B2E8B">
              <w:t>210.000</w:t>
            </w:r>
            <w:r w:rsidRPr="006B2E8B">
              <w:tab/>
              <w:t>PROGRAM COVERAGE</w:t>
            </w:r>
            <w:bookmarkEnd w:id="25"/>
            <w:bookmarkEnd w:id="26"/>
          </w:p>
        </w:tc>
        <w:tc>
          <w:tcPr>
            <w:tcW w:w="1238" w:type="dxa"/>
            <w:shd w:val="clear" w:color="auto" w:fill="1D73D6"/>
          </w:tcPr>
          <w:p w14:paraId="419D91CF" w14:textId="77777777" w:rsidR="006D15F7" w:rsidRPr="006B2E8B" w:rsidRDefault="006D15F7" w:rsidP="006D15F7">
            <w:pPr>
              <w:pStyle w:val="cDate1"/>
            </w:pPr>
          </w:p>
        </w:tc>
      </w:tr>
      <w:tr w:rsidR="00D96B1B" w:rsidRPr="006B2E8B" w14:paraId="09C1379D" w14:textId="77777777" w:rsidTr="00540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5BC6339" w14:textId="77777777" w:rsidR="00D96B1B" w:rsidRPr="006B2E8B" w:rsidRDefault="00D96B1B" w:rsidP="00D96B1B">
            <w:pPr>
              <w:pStyle w:val="chead2"/>
              <w:numPr>
                <w:ilvl w:val="12"/>
                <w:numId w:val="0"/>
              </w:numPr>
              <w:ind w:left="1440" w:hanging="1440"/>
            </w:pPr>
            <w:bookmarkStart w:id="27" w:name="_Toc40064369"/>
            <w:bookmarkStart w:id="28" w:name="_Toc202162597"/>
            <w:r w:rsidRPr="006B2E8B">
              <w:t>211.000</w:t>
            </w:r>
            <w:r w:rsidRPr="006B2E8B">
              <w:tab/>
              <w:t>Introduction</w:t>
            </w:r>
            <w:bookmarkEnd w:id="27"/>
            <w:bookmarkEnd w:id="28"/>
          </w:p>
        </w:tc>
        <w:tc>
          <w:tcPr>
            <w:tcW w:w="1238" w:type="dxa"/>
            <w:tcBorders>
              <w:top w:val="nil"/>
              <w:left w:val="single" w:sz="6" w:space="0" w:color="FFFFFF"/>
              <w:bottom w:val="single" w:sz="6" w:space="0" w:color="FFFFFF"/>
              <w:right w:val="single" w:sz="6" w:space="0" w:color="FFFFFF"/>
            </w:tcBorders>
          </w:tcPr>
          <w:p w14:paraId="27372633" w14:textId="77777777" w:rsidR="00D96B1B" w:rsidRPr="006B2E8B" w:rsidRDefault="00D96B1B" w:rsidP="00D96B1B">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47F47A5" w14:textId="77777777" w:rsidR="00D96B1B" w:rsidRPr="006B2E8B" w:rsidRDefault="00D96B1B" w:rsidP="00D96B1B">
      <w:pPr>
        <w:pStyle w:val="ctext"/>
        <w:numPr>
          <w:ilvl w:val="12"/>
          <w:numId w:val="0"/>
        </w:numPr>
        <w:ind w:left="360"/>
      </w:pPr>
      <w:r w:rsidRPr="006B2E8B">
        <w:lastRenderedPageBreak/>
        <w:t xml:space="preserve">The Medical Assistance (Medicaid) Program is designed to assist eligible Medicaid beneficiaries in obtaining medical care within the guidelines specified in this manual.  All Medicaid benefits are based on medical </w:t>
      </w:r>
      <w:proofErr w:type="gramStart"/>
      <w:r w:rsidRPr="006B2E8B">
        <w:t>necessity</w:t>
      </w:r>
      <w:proofErr w:type="gramEnd"/>
      <w:r w:rsidRPr="006B2E8B">
        <w:t>.  See the Glossary for a definition of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B94703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1EC54F7" w14:textId="77777777" w:rsidR="006D15F7" w:rsidRPr="006B2E8B" w:rsidRDefault="006D15F7">
            <w:pPr>
              <w:pStyle w:val="chead2"/>
              <w:numPr>
                <w:ilvl w:val="12"/>
                <w:numId w:val="0"/>
              </w:numPr>
              <w:ind w:left="1440" w:hanging="1440"/>
            </w:pPr>
            <w:bookmarkStart w:id="29" w:name="_Toc40064370"/>
            <w:bookmarkStart w:id="30" w:name="_Toc202162598"/>
            <w:r w:rsidRPr="006B2E8B">
              <w:t>212.000</w:t>
            </w:r>
            <w:r w:rsidRPr="006B2E8B">
              <w:tab/>
              <w:t>Scope</w:t>
            </w:r>
            <w:bookmarkEnd w:id="29"/>
            <w:bookmarkEnd w:id="30"/>
          </w:p>
        </w:tc>
        <w:tc>
          <w:tcPr>
            <w:tcW w:w="1238" w:type="dxa"/>
            <w:tcBorders>
              <w:top w:val="single" w:sz="6" w:space="0" w:color="FFFFFF"/>
              <w:left w:val="single" w:sz="6" w:space="0" w:color="FFFFFF"/>
              <w:bottom w:val="single" w:sz="6" w:space="0" w:color="FFFFFF"/>
              <w:right w:val="single" w:sz="6" w:space="0" w:color="FFFFFF"/>
            </w:tcBorders>
          </w:tcPr>
          <w:p w14:paraId="52846145" w14:textId="77777777" w:rsidR="006D15F7" w:rsidRPr="006B2E8B" w:rsidRDefault="006D15F7">
            <w:pPr>
              <w:pStyle w:val="cDate2"/>
              <w:numPr>
                <w:ilvl w:val="12"/>
                <w:numId w:val="0"/>
              </w:numPr>
            </w:pPr>
          </w:p>
        </w:tc>
      </w:tr>
      <w:tr w:rsidR="00D96B1B" w:rsidRPr="006B2E8B" w14:paraId="5266576B"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48A24AF2" w14:textId="77777777" w:rsidR="00D96B1B" w:rsidRPr="006B2E8B" w:rsidRDefault="00D96B1B" w:rsidP="005404D5">
            <w:pPr>
              <w:pStyle w:val="chead2"/>
              <w:numPr>
                <w:ilvl w:val="12"/>
                <w:numId w:val="0"/>
              </w:numPr>
              <w:ind w:left="1440" w:hanging="1440"/>
            </w:pPr>
            <w:bookmarkStart w:id="31" w:name="_Toc40064371"/>
            <w:bookmarkStart w:id="32" w:name="_Toc202162599"/>
            <w:r w:rsidRPr="006B2E8B">
              <w:t>212.100</w:t>
            </w:r>
            <w:r w:rsidRPr="006B2E8B">
              <w:tab/>
              <w:t>A Patient of the FQHC</w:t>
            </w:r>
            <w:bookmarkEnd w:id="31"/>
            <w:bookmarkEnd w:id="32"/>
          </w:p>
        </w:tc>
        <w:tc>
          <w:tcPr>
            <w:tcW w:w="1238" w:type="dxa"/>
            <w:tcBorders>
              <w:top w:val="single" w:sz="6" w:space="0" w:color="FFFFFF"/>
              <w:left w:val="single" w:sz="6" w:space="0" w:color="FFFFFF"/>
              <w:bottom w:val="single" w:sz="6" w:space="0" w:color="FFFFFF"/>
              <w:right w:val="single" w:sz="6" w:space="0" w:color="FFFFFF"/>
            </w:tcBorders>
          </w:tcPr>
          <w:p w14:paraId="1521F2A5" w14:textId="77777777" w:rsidR="00D96B1B" w:rsidRPr="006B2E8B" w:rsidRDefault="00D96B1B" w:rsidP="005404D5">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B34758B" w14:textId="77777777" w:rsidR="006D15F7" w:rsidRPr="006B2E8B" w:rsidRDefault="00D96B1B">
      <w:pPr>
        <w:pStyle w:val="ctext"/>
        <w:numPr>
          <w:ilvl w:val="12"/>
          <w:numId w:val="0"/>
        </w:numPr>
        <w:ind w:left="360"/>
      </w:pPr>
      <w:r w:rsidRPr="006B2E8B">
        <w:t>Any Medicaid beneficiary who receives FQHC services or other ambulatory services at the FQHC is considered a patient of the FQHC.  In addition, any Medicaid beneficiary who receives FQHC services furnished by the FQHC off-site from the FQHC is considered a patient of the FQH.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DEDBA0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68E2EE2" w14:textId="77777777" w:rsidR="006D15F7" w:rsidRPr="006B2E8B" w:rsidRDefault="006D15F7">
            <w:pPr>
              <w:pStyle w:val="chead2"/>
              <w:numPr>
                <w:ilvl w:val="12"/>
                <w:numId w:val="0"/>
              </w:numPr>
              <w:ind w:left="1440" w:hanging="1440"/>
            </w:pPr>
            <w:bookmarkStart w:id="33" w:name="_Toc40064372"/>
            <w:bookmarkStart w:id="34" w:name="_Toc202162600"/>
            <w:r w:rsidRPr="006B2E8B">
              <w:t>212.200</w:t>
            </w:r>
            <w:r w:rsidRPr="006B2E8B">
              <w:tab/>
              <w:t>FQHC Core Services</w:t>
            </w:r>
            <w:bookmarkEnd w:id="33"/>
            <w:bookmarkEnd w:id="34"/>
          </w:p>
        </w:tc>
        <w:tc>
          <w:tcPr>
            <w:tcW w:w="1238" w:type="dxa"/>
            <w:tcBorders>
              <w:top w:val="single" w:sz="6" w:space="0" w:color="FFFFFF"/>
              <w:left w:val="single" w:sz="6" w:space="0" w:color="FFFFFF"/>
              <w:bottom w:val="single" w:sz="6" w:space="0" w:color="FFFFFF"/>
              <w:right w:val="single" w:sz="6" w:space="0" w:color="FFFFFF"/>
            </w:tcBorders>
          </w:tcPr>
          <w:p w14:paraId="77A988B0" w14:textId="77777777" w:rsidR="006D15F7" w:rsidRPr="006B2E8B" w:rsidRDefault="002B6F2C">
            <w:pPr>
              <w:pStyle w:val="cDate2"/>
              <w:numPr>
                <w:ilvl w:val="12"/>
                <w:numId w:val="0"/>
              </w:numPr>
            </w:pPr>
            <w:r w:rsidRPr="006B2E8B">
              <w:t>1-1-22</w:t>
            </w:r>
          </w:p>
        </w:tc>
      </w:tr>
    </w:tbl>
    <w:p w14:paraId="64077723" w14:textId="77777777" w:rsidR="002B6F2C" w:rsidRPr="006B2E8B" w:rsidRDefault="002B6F2C" w:rsidP="002B6F2C">
      <w:pPr>
        <w:pStyle w:val="ctext"/>
        <w:numPr>
          <w:ilvl w:val="12"/>
          <w:numId w:val="0"/>
        </w:numPr>
        <w:ind w:left="360"/>
      </w:pPr>
      <w:r w:rsidRPr="006B2E8B">
        <w:t>Covered FQHC core services are:</w:t>
      </w:r>
    </w:p>
    <w:p w14:paraId="0D726192" w14:textId="77777777" w:rsidR="002B6F2C" w:rsidRPr="006B2E8B" w:rsidRDefault="002B6F2C" w:rsidP="002B6F2C">
      <w:pPr>
        <w:pStyle w:val="CLETTERED"/>
      </w:pPr>
      <w:r w:rsidRPr="006B2E8B">
        <w:t>A.</w:t>
      </w:r>
      <w:r w:rsidRPr="006B2E8B">
        <w:tab/>
        <w:t xml:space="preserve">Physician </w:t>
      </w:r>
      <w:proofErr w:type="gramStart"/>
      <w:r w:rsidRPr="006B2E8B">
        <w:t>services;</w:t>
      </w:r>
      <w:proofErr w:type="gramEnd"/>
    </w:p>
    <w:p w14:paraId="7815C812" w14:textId="77777777" w:rsidR="002B6F2C" w:rsidRPr="006B2E8B" w:rsidRDefault="002B6F2C" w:rsidP="002B6F2C">
      <w:pPr>
        <w:pStyle w:val="CLETTERED"/>
      </w:pPr>
      <w:r w:rsidRPr="006B2E8B">
        <w:t>B.</w:t>
      </w:r>
      <w:r w:rsidRPr="006B2E8B">
        <w:tab/>
        <w:t>Services and supplies incidental to physician services (including drugs and biologicals that cannot be self-administered</w:t>
      </w:r>
      <w:proofErr w:type="gramStart"/>
      <w:r w:rsidRPr="006B2E8B">
        <w:t>);</w:t>
      </w:r>
      <w:proofErr w:type="gramEnd"/>
    </w:p>
    <w:p w14:paraId="76A956EB" w14:textId="77777777" w:rsidR="002B6F2C" w:rsidRPr="006B2E8B" w:rsidRDefault="002B6F2C" w:rsidP="002B6F2C">
      <w:pPr>
        <w:pStyle w:val="CLETTERED"/>
      </w:pPr>
      <w:r w:rsidRPr="006B2E8B">
        <w:t>C.</w:t>
      </w:r>
      <w:r w:rsidRPr="006B2E8B">
        <w:tab/>
        <w:t xml:space="preserve">Pneumococcal vaccine and its administration and influenza vaccine and its </w:t>
      </w:r>
      <w:proofErr w:type="gramStart"/>
      <w:r w:rsidRPr="006B2E8B">
        <w:t>administration;</w:t>
      </w:r>
      <w:proofErr w:type="gramEnd"/>
    </w:p>
    <w:p w14:paraId="5978634A" w14:textId="77777777" w:rsidR="002B6F2C" w:rsidRPr="006B2E8B" w:rsidRDefault="002B6F2C" w:rsidP="002B6F2C">
      <w:pPr>
        <w:pStyle w:val="CLETTERED"/>
      </w:pPr>
      <w:r w:rsidRPr="006B2E8B">
        <w:t>D.</w:t>
      </w:r>
      <w:r w:rsidRPr="006B2E8B">
        <w:tab/>
        <w:t xml:space="preserve">Services provided by physician assistants, nurse practitioners, clinical psychologists, clinical social workers, licensed certified social workers, licensed professional counselors, licensed mental health counselors, and licensed marriage and family </w:t>
      </w:r>
      <w:proofErr w:type="gramStart"/>
      <w:r w:rsidRPr="006B2E8B">
        <w:t>therapists;</w:t>
      </w:r>
      <w:proofErr w:type="gramEnd"/>
    </w:p>
    <w:p w14:paraId="7A85F9B4" w14:textId="77777777" w:rsidR="002B6F2C" w:rsidRPr="006B2E8B" w:rsidRDefault="002B6F2C" w:rsidP="002B6F2C">
      <w:pPr>
        <w:pStyle w:val="CLETTERED"/>
      </w:pPr>
      <w:r w:rsidRPr="006B2E8B">
        <w:t>E.</w:t>
      </w:r>
      <w:r w:rsidRPr="006B2E8B">
        <w:tab/>
        <w:t>Services and supplies incidental to physician assistant, nurse practitioner, clinical psychologist, clinical social worker, licensed certified social worker, licensed professional counselor, licensed mental health counselor, and licensed marriage and family therapist services as would otherwise be covered if furnished by or incidental to physician services; and</w:t>
      </w:r>
    </w:p>
    <w:p w14:paraId="00C956D8" w14:textId="77777777" w:rsidR="006D15F7" w:rsidRPr="006B2E8B" w:rsidRDefault="002B6F2C" w:rsidP="002B6F2C">
      <w:pPr>
        <w:pStyle w:val="CLETTERED"/>
      </w:pPr>
      <w:r w:rsidRPr="006B2E8B">
        <w:t>F.</w:t>
      </w:r>
      <w:r w:rsidRPr="006B2E8B">
        <w:tab/>
        <w:t xml:space="preserve">Part-time or intermittent nursing care and related medical supplies to a homebound individual, in the case of those FQHCs that </w:t>
      </w:r>
      <w:proofErr w:type="gramStart"/>
      <w:r w:rsidRPr="006B2E8B">
        <w:t>are located in</w:t>
      </w:r>
      <w:proofErr w:type="gramEnd"/>
      <w:r w:rsidRPr="006B2E8B">
        <w:t xml:space="preserve"> an area in which the Secretary of the Department of Health and Human Services has determined there is a shortage of home health agencies.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6D8B38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7155809" w14:textId="77777777" w:rsidR="006D15F7" w:rsidRPr="006B2E8B" w:rsidRDefault="006D15F7">
            <w:pPr>
              <w:pStyle w:val="chead2"/>
              <w:numPr>
                <w:ilvl w:val="12"/>
                <w:numId w:val="0"/>
              </w:numPr>
              <w:ind w:left="1440" w:hanging="1440"/>
            </w:pPr>
            <w:bookmarkStart w:id="35" w:name="_Toc40064373"/>
            <w:bookmarkStart w:id="36" w:name="_Toc202162601"/>
            <w:r w:rsidRPr="006B2E8B">
              <w:t>212.210</w:t>
            </w:r>
            <w:r w:rsidRPr="006B2E8B">
              <w:tab/>
              <w:t>Services "Incident To" a Physician's Professional Services</w:t>
            </w:r>
            <w:bookmarkEnd w:id="35"/>
            <w:bookmarkEnd w:id="36"/>
          </w:p>
        </w:tc>
        <w:tc>
          <w:tcPr>
            <w:tcW w:w="1238" w:type="dxa"/>
            <w:tcBorders>
              <w:top w:val="single" w:sz="6" w:space="0" w:color="FFFFFF"/>
              <w:left w:val="single" w:sz="6" w:space="0" w:color="FFFFFF"/>
              <w:bottom w:val="single" w:sz="6" w:space="0" w:color="FFFFFF"/>
              <w:right w:val="single" w:sz="6" w:space="0" w:color="FFFFFF"/>
            </w:tcBorders>
          </w:tcPr>
          <w:p w14:paraId="18DF3A9F"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26C7D71" w14:textId="77777777" w:rsidR="006D15F7" w:rsidRPr="006B2E8B" w:rsidRDefault="00E6649B" w:rsidP="00E6649B">
      <w:pPr>
        <w:pStyle w:val="CLETTERED"/>
      </w:pPr>
      <w:r w:rsidRPr="006B2E8B">
        <w:t>A.</w:t>
      </w:r>
      <w:r w:rsidRPr="006B2E8B">
        <w:tab/>
      </w:r>
      <w:r w:rsidR="006D15F7" w:rsidRPr="006B2E8B">
        <w:t>Services and supplies "incident to" a physician's professional services are covered if a service or supply is:</w:t>
      </w:r>
    </w:p>
    <w:p w14:paraId="17151665" w14:textId="77777777" w:rsidR="006D15F7" w:rsidRPr="006B2E8B" w:rsidRDefault="00E6649B" w:rsidP="00E6649B">
      <w:pPr>
        <w:pStyle w:val="cnumbered"/>
      </w:pPr>
      <w:r w:rsidRPr="006B2E8B">
        <w:t>1.</w:t>
      </w:r>
      <w:r w:rsidRPr="006B2E8B">
        <w:tab/>
      </w:r>
      <w:r w:rsidR="006D15F7" w:rsidRPr="006B2E8B">
        <w:t xml:space="preserve">Of a type commonly furnished in physicians' </w:t>
      </w:r>
      <w:proofErr w:type="gramStart"/>
      <w:r w:rsidR="006D15F7" w:rsidRPr="006B2E8B">
        <w:t>offices;</w:t>
      </w:r>
      <w:proofErr w:type="gramEnd"/>
    </w:p>
    <w:p w14:paraId="1F08D8F8" w14:textId="77777777" w:rsidR="006D15F7" w:rsidRPr="006B2E8B" w:rsidRDefault="00E6649B" w:rsidP="00E6649B">
      <w:pPr>
        <w:pStyle w:val="cnumbered"/>
      </w:pPr>
      <w:r w:rsidRPr="006B2E8B">
        <w:t>2.</w:t>
      </w:r>
      <w:r w:rsidRPr="006B2E8B">
        <w:tab/>
      </w:r>
      <w:r w:rsidR="006D15F7" w:rsidRPr="006B2E8B">
        <w:t xml:space="preserve">Of a type commonly furnished either without charge or included in the FQHC’s </w:t>
      </w:r>
      <w:proofErr w:type="gramStart"/>
      <w:r w:rsidR="006D15F7" w:rsidRPr="006B2E8B">
        <w:t>bill;</w:t>
      </w:r>
      <w:proofErr w:type="gramEnd"/>
    </w:p>
    <w:p w14:paraId="31785605" w14:textId="77777777" w:rsidR="006D15F7" w:rsidRPr="006B2E8B" w:rsidRDefault="00E6649B" w:rsidP="00E6649B">
      <w:pPr>
        <w:pStyle w:val="cnumbered"/>
      </w:pPr>
      <w:r w:rsidRPr="006B2E8B">
        <w:t>3.</w:t>
      </w:r>
      <w:r w:rsidRPr="006B2E8B">
        <w:tab/>
      </w:r>
      <w:r w:rsidR="006D15F7" w:rsidRPr="006B2E8B">
        <w:t xml:space="preserve">Furnished as an incidental, although integral, part of a physician's professional </w:t>
      </w:r>
      <w:proofErr w:type="gramStart"/>
      <w:r w:rsidR="006D15F7" w:rsidRPr="006B2E8B">
        <w:t>services;</w:t>
      </w:r>
      <w:proofErr w:type="gramEnd"/>
    </w:p>
    <w:p w14:paraId="7088D2EF" w14:textId="77777777" w:rsidR="006D15F7" w:rsidRPr="006B2E8B" w:rsidRDefault="00E6649B" w:rsidP="00E6649B">
      <w:pPr>
        <w:pStyle w:val="cnumbered"/>
      </w:pPr>
      <w:r w:rsidRPr="006B2E8B">
        <w:t>4.</w:t>
      </w:r>
      <w:r w:rsidRPr="006B2E8B">
        <w:tab/>
      </w:r>
      <w:r w:rsidR="006D15F7" w:rsidRPr="006B2E8B">
        <w:t>Furnished under the supervision of or in collaboration with, a physician.  "The supervision of a physician" means:</w:t>
      </w:r>
    </w:p>
    <w:p w14:paraId="4C1101DA" w14:textId="77777777" w:rsidR="006D15F7" w:rsidRPr="006B2E8B" w:rsidRDefault="00E6649B" w:rsidP="00E6649B">
      <w:pPr>
        <w:pStyle w:val="cletteredindent"/>
      </w:pPr>
      <w:r w:rsidRPr="006B2E8B">
        <w:t>a.</w:t>
      </w:r>
      <w:r w:rsidRPr="006B2E8B">
        <w:tab/>
      </w:r>
      <w:r w:rsidR="006D15F7" w:rsidRPr="006B2E8B">
        <w:t>The physician must be physically present (under the same roof and immediately available for consultation) when the services are furnished and</w:t>
      </w:r>
    </w:p>
    <w:p w14:paraId="4380D8BE" w14:textId="77777777" w:rsidR="006D15F7" w:rsidRPr="006B2E8B" w:rsidRDefault="00E6649B" w:rsidP="00E6649B">
      <w:pPr>
        <w:pStyle w:val="cletteredindent"/>
      </w:pPr>
      <w:r w:rsidRPr="006B2E8B">
        <w:t>b.</w:t>
      </w:r>
      <w:r w:rsidRPr="006B2E8B">
        <w:tab/>
      </w:r>
      <w:r w:rsidR="006D15F7" w:rsidRPr="006B2E8B">
        <w:t>The person furnishing the service must be a member of the clinic's health care staff as an employee of the clinic.</w:t>
      </w:r>
    </w:p>
    <w:p w14:paraId="4107D4FA" w14:textId="77777777" w:rsidR="006D15F7" w:rsidRPr="006B2E8B" w:rsidRDefault="00E6649B" w:rsidP="00E6649B">
      <w:pPr>
        <w:pStyle w:val="CLETTERED"/>
      </w:pPr>
      <w:r w:rsidRPr="006B2E8B">
        <w:tab/>
      </w:r>
      <w:r w:rsidR="006D15F7" w:rsidRPr="006B2E8B">
        <w:t>"In collaboration with a physician" is defined below in Section 212.220.</w:t>
      </w:r>
    </w:p>
    <w:p w14:paraId="6482607F" w14:textId="77777777" w:rsidR="006D15F7" w:rsidRPr="006B2E8B" w:rsidRDefault="00E6649B" w:rsidP="00E6649B">
      <w:pPr>
        <w:pStyle w:val="CLETTERED"/>
      </w:pPr>
      <w:r w:rsidRPr="006B2E8B">
        <w:lastRenderedPageBreak/>
        <w:t>B.</w:t>
      </w:r>
      <w:r w:rsidRPr="006B2E8B">
        <w:tab/>
      </w:r>
      <w:r w:rsidR="006D15F7" w:rsidRPr="006B2E8B">
        <w:t>Only drugs and biologicals that cannot be self-administered are included within the scope of this benefit.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B4420" w:rsidRPr="006B2E8B" w14:paraId="5B416B0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8BCD4A1" w14:textId="77777777" w:rsidR="00BB4420" w:rsidRPr="006B2E8B" w:rsidRDefault="00BB4420" w:rsidP="00BB4420">
            <w:pPr>
              <w:pStyle w:val="chead2"/>
              <w:numPr>
                <w:ilvl w:val="12"/>
                <w:numId w:val="0"/>
              </w:numPr>
              <w:ind w:left="1440" w:hanging="1440"/>
            </w:pPr>
            <w:bookmarkStart w:id="37" w:name="_Toc40064374"/>
            <w:bookmarkStart w:id="38" w:name="_Toc121472130"/>
            <w:bookmarkStart w:id="39" w:name="_Toc202162602"/>
            <w:r w:rsidRPr="006B2E8B">
              <w:t>212.220</w:t>
            </w:r>
            <w:r w:rsidRPr="006B2E8B">
              <w:tab/>
              <w:t>Services Furnished in Collaboration with a Physician</w:t>
            </w:r>
            <w:bookmarkEnd w:id="37"/>
            <w:bookmarkEnd w:id="38"/>
            <w:bookmarkEnd w:id="39"/>
          </w:p>
        </w:tc>
        <w:tc>
          <w:tcPr>
            <w:tcW w:w="1238" w:type="dxa"/>
            <w:tcBorders>
              <w:top w:val="single" w:sz="6" w:space="0" w:color="FFFFFF"/>
              <w:left w:val="single" w:sz="6" w:space="0" w:color="FFFFFF"/>
              <w:bottom w:val="single" w:sz="6" w:space="0" w:color="FFFFFF"/>
              <w:right w:val="single" w:sz="6" w:space="0" w:color="FFFFFF"/>
            </w:tcBorders>
          </w:tcPr>
          <w:p w14:paraId="7F362549" w14:textId="77777777" w:rsidR="00BB4420" w:rsidRPr="006B2E8B" w:rsidRDefault="00BB4420" w:rsidP="00BB4420">
            <w:pPr>
              <w:pStyle w:val="cDate2"/>
              <w:numPr>
                <w:ilvl w:val="12"/>
                <w:numId w:val="0"/>
              </w:numPr>
            </w:pPr>
            <w:r w:rsidRPr="006B2E8B">
              <w:t>2-1-24</w:t>
            </w:r>
          </w:p>
        </w:tc>
      </w:tr>
    </w:tbl>
    <w:p w14:paraId="77B337EA" w14:textId="77777777" w:rsidR="00BB4420" w:rsidRPr="006B2E8B" w:rsidRDefault="00BB4420" w:rsidP="00BB4420">
      <w:pPr>
        <w:pStyle w:val="ctext"/>
        <w:numPr>
          <w:ilvl w:val="12"/>
          <w:numId w:val="0"/>
        </w:numPr>
        <w:ind w:left="360"/>
      </w:pPr>
      <w:r w:rsidRPr="006B2E8B">
        <w:t>Nurse practitioner services are performed in collaboration with a physician or physicians.</w:t>
      </w:r>
    </w:p>
    <w:p w14:paraId="31750671" w14:textId="77777777" w:rsidR="00BB4420" w:rsidRPr="006B2E8B" w:rsidRDefault="00BB4420" w:rsidP="00BB4420">
      <w:pPr>
        <w:pStyle w:val="CLETTERED"/>
      </w:pPr>
      <w:r w:rsidRPr="006B2E8B">
        <w:t>A.</w:t>
      </w:r>
      <w:r w:rsidRPr="006B2E8B">
        <w:tab/>
        <w:t>Collaboration is a process in which a nurse practitioner works with one (1) or more physicians to deliver health care services within the scope of the practitioner’s expertise, with medical direction, and appropriate supervision as provided for in jointly developed guidelines or other mechanisms as provided by State law.</w:t>
      </w:r>
    </w:p>
    <w:p w14:paraId="7184EF65" w14:textId="77777777" w:rsidR="00BB4420" w:rsidRPr="006B2E8B" w:rsidRDefault="00BB4420" w:rsidP="00BB4420">
      <w:pPr>
        <w:pStyle w:val="CLETTERED"/>
      </w:pPr>
      <w:r w:rsidRPr="006B2E8B">
        <w:t>B.</w:t>
      </w:r>
      <w:r w:rsidRPr="006B2E8B">
        <w:tab/>
        <w:t>The collaborating physician does not need to be present with the nurse practitioner when the services are furnished or to make an independent evaluation of each patient who is seen by the nurse practitioner.</w:t>
      </w:r>
    </w:p>
    <w:p w14:paraId="13E0E770" w14:textId="77777777" w:rsidR="006D15F7" w:rsidRPr="006B2E8B" w:rsidRDefault="00BB4420" w:rsidP="00BB4420">
      <w:pPr>
        <w:pStyle w:val="CLETTERED"/>
      </w:pPr>
      <w:r w:rsidRPr="006B2E8B">
        <w:t>C</w:t>
      </w:r>
      <w:proofErr w:type="gramStart"/>
      <w:r w:rsidRPr="006B2E8B">
        <w:t xml:space="preserve">. </w:t>
      </w:r>
      <w:r w:rsidRPr="006B2E8B">
        <w:tab/>
        <w:t>Medication</w:t>
      </w:r>
      <w:proofErr w:type="gramEnd"/>
      <w:r w:rsidRPr="006B2E8B">
        <w:t xml:space="preserve"> Assisted Treatment (MAT) for Opioid or Alcohol Use Disorders is available to all qualifying Medicaid beneficiaries. All rules and regulations promulgated within the Physician’s provider manual for provision of this service must be followed.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1704DB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61B5CF9" w14:textId="77777777" w:rsidR="006D15F7" w:rsidRPr="006B2E8B" w:rsidRDefault="006D15F7">
            <w:pPr>
              <w:pStyle w:val="chead2"/>
              <w:numPr>
                <w:ilvl w:val="12"/>
                <w:numId w:val="0"/>
              </w:numPr>
              <w:ind w:left="1440" w:hanging="1440"/>
            </w:pPr>
            <w:bookmarkStart w:id="40" w:name="_Toc40064375"/>
            <w:bookmarkStart w:id="41" w:name="_Toc202162603"/>
            <w:r w:rsidRPr="006B2E8B">
              <w:t>212.230</w:t>
            </w:r>
            <w:r w:rsidRPr="006B2E8B">
              <w:tab/>
              <w:t>Services and Supplies "Incident To" a Nurse Practitioner's or Physician Assistant's Services</w:t>
            </w:r>
            <w:bookmarkEnd w:id="40"/>
            <w:bookmarkEnd w:id="41"/>
          </w:p>
        </w:tc>
        <w:tc>
          <w:tcPr>
            <w:tcW w:w="1238" w:type="dxa"/>
            <w:tcBorders>
              <w:top w:val="single" w:sz="6" w:space="0" w:color="FFFFFF"/>
              <w:left w:val="single" w:sz="6" w:space="0" w:color="FFFFFF"/>
              <w:bottom w:val="single" w:sz="6" w:space="0" w:color="FFFFFF"/>
              <w:right w:val="single" w:sz="6" w:space="0" w:color="FFFFFF"/>
            </w:tcBorders>
          </w:tcPr>
          <w:p w14:paraId="52CA9984"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C6273D9" w14:textId="77777777" w:rsidR="006D15F7" w:rsidRPr="006B2E8B" w:rsidRDefault="006A2E43" w:rsidP="006A2E43">
      <w:pPr>
        <w:pStyle w:val="CLETTERED"/>
      </w:pPr>
      <w:r w:rsidRPr="006B2E8B">
        <w:t>A.</w:t>
      </w:r>
      <w:r w:rsidRPr="006B2E8B">
        <w:tab/>
      </w:r>
      <w:r w:rsidR="006D15F7" w:rsidRPr="006B2E8B">
        <w:t>Services and supplies "incident to" a nurse practitioner's or physician assistant's service are covered if the service or supply is:</w:t>
      </w:r>
    </w:p>
    <w:p w14:paraId="380303CE" w14:textId="77777777" w:rsidR="006D15F7" w:rsidRPr="006B2E8B" w:rsidRDefault="006A2E43" w:rsidP="006A2E43">
      <w:pPr>
        <w:pStyle w:val="cnumbered"/>
      </w:pPr>
      <w:r w:rsidRPr="006B2E8B">
        <w:t>1.</w:t>
      </w:r>
      <w:r w:rsidRPr="006B2E8B">
        <w:tab/>
      </w:r>
      <w:r w:rsidR="006D15F7" w:rsidRPr="006B2E8B">
        <w:t xml:space="preserve">Of a type commonly furnished in physicians' </w:t>
      </w:r>
      <w:proofErr w:type="gramStart"/>
      <w:r w:rsidR="006D15F7" w:rsidRPr="006B2E8B">
        <w:t>offices;</w:t>
      </w:r>
      <w:proofErr w:type="gramEnd"/>
    </w:p>
    <w:p w14:paraId="66B5C39C" w14:textId="77777777" w:rsidR="006D15F7" w:rsidRPr="006B2E8B" w:rsidRDefault="006A2E43" w:rsidP="006A2E43">
      <w:pPr>
        <w:pStyle w:val="cnumbered"/>
      </w:pPr>
      <w:r w:rsidRPr="006B2E8B">
        <w:t>2.</w:t>
      </w:r>
      <w:r w:rsidRPr="006B2E8B">
        <w:tab/>
      </w:r>
      <w:r w:rsidR="006D15F7" w:rsidRPr="006B2E8B">
        <w:t xml:space="preserve">Of a type commonly furnished either without charge or included in the FQHC’s </w:t>
      </w:r>
      <w:proofErr w:type="gramStart"/>
      <w:r w:rsidR="006D15F7" w:rsidRPr="006B2E8B">
        <w:t>bill;</w:t>
      </w:r>
      <w:proofErr w:type="gramEnd"/>
    </w:p>
    <w:p w14:paraId="661E2657" w14:textId="77777777" w:rsidR="006D15F7" w:rsidRPr="006B2E8B" w:rsidRDefault="006A2E43" w:rsidP="006A2E43">
      <w:pPr>
        <w:pStyle w:val="cnumbered"/>
      </w:pPr>
      <w:r w:rsidRPr="006B2E8B">
        <w:t>3.</w:t>
      </w:r>
      <w:r w:rsidRPr="006B2E8B">
        <w:tab/>
      </w:r>
      <w:r w:rsidR="006D15F7" w:rsidRPr="006B2E8B">
        <w:t xml:space="preserve">Furnished as an incidental, although integral, part of the professional services furnished by a nurse practitioner or physician </w:t>
      </w:r>
      <w:proofErr w:type="gramStart"/>
      <w:r w:rsidR="006D15F7" w:rsidRPr="006B2E8B">
        <w:t>assistant;</w:t>
      </w:r>
      <w:proofErr w:type="gramEnd"/>
    </w:p>
    <w:p w14:paraId="2DB1BC4F" w14:textId="77777777" w:rsidR="006D15F7" w:rsidRPr="006B2E8B" w:rsidRDefault="006A2E43" w:rsidP="006A2E43">
      <w:pPr>
        <w:pStyle w:val="cnumbered"/>
      </w:pPr>
      <w:r w:rsidRPr="006B2E8B">
        <w:t>4.</w:t>
      </w:r>
      <w:r w:rsidRPr="006B2E8B">
        <w:tab/>
      </w:r>
      <w:r w:rsidR="006D15F7" w:rsidRPr="006B2E8B">
        <w:t>In the case of a service, furnished by a member of the clinic's health care staff who is an employee of the clinic and</w:t>
      </w:r>
    </w:p>
    <w:p w14:paraId="16920156" w14:textId="77777777" w:rsidR="006D15F7" w:rsidRPr="006B2E8B" w:rsidRDefault="006A2E43" w:rsidP="006A2E43">
      <w:pPr>
        <w:pStyle w:val="cnumbered"/>
      </w:pPr>
      <w:r w:rsidRPr="006B2E8B">
        <w:t>5.</w:t>
      </w:r>
      <w:r w:rsidRPr="006B2E8B">
        <w:tab/>
      </w:r>
      <w:r w:rsidR="006D15F7" w:rsidRPr="006B2E8B">
        <w:t>Furnished under the direct supervision of a nurse practitioner, physician assistant or a physician as follows:</w:t>
      </w:r>
    </w:p>
    <w:p w14:paraId="7A4A0386" w14:textId="77777777" w:rsidR="006D15F7" w:rsidRPr="006B2E8B" w:rsidRDefault="006A2E43" w:rsidP="006A2E43">
      <w:pPr>
        <w:pStyle w:val="cletteredindent"/>
      </w:pPr>
      <w:r w:rsidRPr="006B2E8B">
        <w:t>a.</w:t>
      </w:r>
      <w:r w:rsidRPr="006B2E8B">
        <w:tab/>
      </w:r>
      <w:r w:rsidR="006D15F7" w:rsidRPr="006B2E8B">
        <w:t>The nurse practitioner, physician assistant or physician must be physically present (under the same roof and immediately available for consultation) when the services are furnished and</w:t>
      </w:r>
    </w:p>
    <w:p w14:paraId="0476303B" w14:textId="77777777" w:rsidR="006D15F7" w:rsidRPr="006B2E8B" w:rsidRDefault="006A2E43" w:rsidP="006A2E43">
      <w:pPr>
        <w:pStyle w:val="cletteredindent"/>
      </w:pPr>
      <w:r w:rsidRPr="006B2E8B">
        <w:t>b.</w:t>
      </w:r>
      <w:r w:rsidRPr="006B2E8B">
        <w:tab/>
      </w:r>
      <w:r w:rsidR="006D15F7" w:rsidRPr="006B2E8B">
        <w:t xml:space="preserve">A </w:t>
      </w:r>
      <w:proofErr w:type="gramStart"/>
      <w:r w:rsidR="006D15F7" w:rsidRPr="006B2E8B">
        <w:t>nurse</w:t>
      </w:r>
      <w:proofErr w:type="gramEnd"/>
      <w:r w:rsidR="006D15F7" w:rsidRPr="006B2E8B">
        <w:t xml:space="preserve"> practitioner or physician assistant may fill this supervisory function only if such a person is permitted to supervise such services under state law and the written policies governing the FQHC.</w:t>
      </w:r>
    </w:p>
    <w:p w14:paraId="45250759" w14:textId="77777777" w:rsidR="006D15F7" w:rsidRPr="006B2E8B" w:rsidRDefault="006A2E43" w:rsidP="006A2E43">
      <w:pPr>
        <w:pStyle w:val="CLETTERED"/>
      </w:pPr>
      <w:r w:rsidRPr="006B2E8B">
        <w:t>B.</w:t>
      </w:r>
      <w:r w:rsidRPr="006B2E8B">
        <w:tab/>
      </w:r>
      <w:r w:rsidR="006D15F7" w:rsidRPr="006B2E8B">
        <w:t>Only drugs and biologicals that cannot be self-administered are included within the scope of this benefit.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1732BC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897B8D9" w14:textId="77777777" w:rsidR="006D15F7" w:rsidRPr="006B2E8B" w:rsidRDefault="006D15F7">
            <w:pPr>
              <w:pStyle w:val="chead2"/>
              <w:numPr>
                <w:ilvl w:val="12"/>
                <w:numId w:val="0"/>
              </w:numPr>
              <w:ind w:left="1440" w:hanging="1440"/>
            </w:pPr>
            <w:bookmarkStart w:id="42" w:name="_Toc40064376"/>
            <w:bookmarkStart w:id="43" w:name="_Toc202162604"/>
            <w:r w:rsidRPr="006B2E8B">
              <w:t>212.240</w:t>
            </w:r>
            <w:r w:rsidRPr="006B2E8B">
              <w:tab/>
              <w:t>Services and Supplies "Incident To" a Clinical Psychologist's Services</w:t>
            </w:r>
            <w:bookmarkEnd w:id="42"/>
            <w:bookmarkEnd w:id="43"/>
          </w:p>
        </w:tc>
        <w:tc>
          <w:tcPr>
            <w:tcW w:w="1238" w:type="dxa"/>
            <w:tcBorders>
              <w:top w:val="single" w:sz="6" w:space="0" w:color="FFFFFF"/>
              <w:left w:val="single" w:sz="6" w:space="0" w:color="FFFFFF"/>
              <w:bottom w:val="single" w:sz="6" w:space="0" w:color="FFFFFF"/>
              <w:right w:val="single" w:sz="6" w:space="0" w:color="FFFFFF"/>
            </w:tcBorders>
          </w:tcPr>
          <w:p w14:paraId="2F9B3CAB"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A648D2C" w14:textId="77777777" w:rsidR="006D15F7" w:rsidRPr="006B2E8B" w:rsidRDefault="006A2E43" w:rsidP="006A2E43">
      <w:pPr>
        <w:pStyle w:val="CLETTERED"/>
      </w:pPr>
      <w:r w:rsidRPr="006B2E8B">
        <w:t>A.</w:t>
      </w:r>
      <w:r w:rsidRPr="006B2E8B">
        <w:tab/>
      </w:r>
      <w:r w:rsidR="006D15F7" w:rsidRPr="006B2E8B">
        <w:t xml:space="preserve">The services of clinical psychologists working within the scope of their </w:t>
      </w:r>
      <w:proofErr w:type="gramStart"/>
      <w:r w:rsidR="006D15F7" w:rsidRPr="006B2E8B">
        <w:t>State</w:t>
      </w:r>
      <w:proofErr w:type="gramEnd"/>
      <w:r w:rsidR="006D15F7" w:rsidRPr="006B2E8B">
        <w:t xml:space="preserve"> licenses are covered if the services would be covered if furnished by a physician or incident to physician services.</w:t>
      </w:r>
    </w:p>
    <w:p w14:paraId="2E88BD42" w14:textId="77777777" w:rsidR="006D15F7" w:rsidRPr="006B2E8B" w:rsidRDefault="006A2E43" w:rsidP="006A2E43">
      <w:pPr>
        <w:pStyle w:val="CLETTERED"/>
      </w:pPr>
      <w:r w:rsidRPr="006B2E8B">
        <w:t>B.</w:t>
      </w:r>
      <w:r w:rsidRPr="006B2E8B">
        <w:tab/>
      </w:r>
      <w:r w:rsidR="006D15F7" w:rsidRPr="006B2E8B">
        <w:t>Services and supplies incident to clinical psychologist services are covered if the following requirements are met:</w:t>
      </w:r>
    </w:p>
    <w:p w14:paraId="4ED15282" w14:textId="77777777" w:rsidR="006D15F7" w:rsidRPr="006B2E8B" w:rsidRDefault="006A2E43" w:rsidP="006A2E43">
      <w:pPr>
        <w:pStyle w:val="cnumbered"/>
      </w:pPr>
      <w:r w:rsidRPr="006B2E8B">
        <w:t>1.</w:t>
      </w:r>
      <w:r w:rsidRPr="006B2E8B">
        <w:tab/>
      </w:r>
      <w:r w:rsidR="006D15F7" w:rsidRPr="006B2E8B">
        <w:t>The services and supplies would be covered if furnished by a physician or incident to a physician's services.</w:t>
      </w:r>
    </w:p>
    <w:p w14:paraId="4F5734A5" w14:textId="77777777" w:rsidR="006D15F7" w:rsidRPr="006B2E8B" w:rsidRDefault="006A2E43" w:rsidP="006A2E43">
      <w:pPr>
        <w:pStyle w:val="cnumbered"/>
      </w:pPr>
      <w:r w:rsidRPr="006B2E8B">
        <w:lastRenderedPageBreak/>
        <w:t>2.</w:t>
      </w:r>
      <w:r w:rsidRPr="006B2E8B">
        <w:tab/>
      </w:r>
      <w:r w:rsidR="006D15F7" w:rsidRPr="006B2E8B">
        <w:t>The services and supplies are of a type commonly furnished in a physician's or clinical psychologist's office and are either furnished without charge or included in the physician's or clinical psychologist's bill.</w:t>
      </w:r>
    </w:p>
    <w:p w14:paraId="5F8B7B9A" w14:textId="77777777" w:rsidR="006D15F7" w:rsidRPr="006B2E8B" w:rsidRDefault="006A2E43" w:rsidP="006A2E43">
      <w:pPr>
        <w:pStyle w:val="cnumbered"/>
      </w:pPr>
      <w:r w:rsidRPr="006B2E8B">
        <w:t>3.</w:t>
      </w:r>
      <w:r w:rsidRPr="006B2E8B">
        <w:tab/>
      </w:r>
      <w:r w:rsidR="006D15F7" w:rsidRPr="006B2E8B">
        <w:t>The services are an incidental, although integral, part of the professional services performed by the clinical psychologist.</w:t>
      </w:r>
    </w:p>
    <w:p w14:paraId="05119EBD" w14:textId="77777777" w:rsidR="006D15F7" w:rsidRPr="006B2E8B" w:rsidRDefault="006A2E43" w:rsidP="006A2E43">
      <w:pPr>
        <w:pStyle w:val="cnumbered"/>
      </w:pPr>
      <w:r w:rsidRPr="006B2E8B">
        <w:t>4.</w:t>
      </w:r>
      <w:r w:rsidRPr="006B2E8B">
        <w:tab/>
      </w:r>
      <w:r w:rsidR="006D15F7" w:rsidRPr="006B2E8B">
        <w:t xml:space="preserve">The services are performed under the direct supervision of a clinical psychologist.  "Direct supervision" means that the clinical psychologist must be present in the FQHC and immediately available to </w:t>
      </w:r>
      <w:proofErr w:type="gramStart"/>
      <w:r w:rsidR="006D15F7" w:rsidRPr="006B2E8B">
        <w:t>provide assistance</w:t>
      </w:r>
      <w:proofErr w:type="gramEnd"/>
      <w:r w:rsidR="006D15F7" w:rsidRPr="006B2E8B">
        <w:t xml:space="preserve"> and direction throughout the time the service is being performed.</w:t>
      </w:r>
    </w:p>
    <w:p w14:paraId="10035955" w14:textId="77777777" w:rsidR="006D15F7" w:rsidRPr="006B2E8B" w:rsidRDefault="006A2E43" w:rsidP="006A2E43">
      <w:pPr>
        <w:pStyle w:val="cnumbered"/>
      </w:pPr>
      <w:r w:rsidRPr="006B2E8B">
        <w:t>5.</w:t>
      </w:r>
      <w:r w:rsidRPr="006B2E8B">
        <w:tab/>
      </w:r>
      <w:r w:rsidR="006D15F7" w:rsidRPr="006B2E8B">
        <w:t>The individual performing the service must be an employee of the FQHC.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BC00D8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B86CCD8" w14:textId="77777777" w:rsidR="006D15F7" w:rsidRPr="006B2E8B" w:rsidRDefault="006D15F7">
            <w:pPr>
              <w:pStyle w:val="chead2"/>
              <w:numPr>
                <w:ilvl w:val="12"/>
                <w:numId w:val="0"/>
              </w:numPr>
              <w:ind w:left="1440" w:hanging="1440"/>
            </w:pPr>
            <w:bookmarkStart w:id="44" w:name="_Toc40064377"/>
            <w:bookmarkStart w:id="45" w:name="_Toc202162605"/>
            <w:r w:rsidRPr="006B2E8B">
              <w:t>212.250</w:t>
            </w:r>
            <w:r w:rsidRPr="006B2E8B">
              <w:tab/>
              <w:t>Clinical Social Worker Services</w:t>
            </w:r>
            <w:bookmarkEnd w:id="44"/>
            <w:bookmarkEnd w:id="45"/>
          </w:p>
        </w:tc>
        <w:tc>
          <w:tcPr>
            <w:tcW w:w="1238" w:type="dxa"/>
            <w:tcBorders>
              <w:top w:val="single" w:sz="6" w:space="0" w:color="FFFFFF"/>
              <w:left w:val="single" w:sz="6" w:space="0" w:color="FFFFFF"/>
              <w:bottom w:val="single" w:sz="6" w:space="0" w:color="FFFFFF"/>
              <w:right w:val="single" w:sz="6" w:space="0" w:color="FFFFFF"/>
            </w:tcBorders>
          </w:tcPr>
          <w:p w14:paraId="2D6D78C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1D44265" w14:textId="77777777" w:rsidR="006D15F7" w:rsidRPr="006B2E8B" w:rsidRDefault="006A2E43" w:rsidP="006A2E43">
      <w:pPr>
        <w:pStyle w:val="CLETTERED"/>
      </w:pPr>
      <w:r w:rsidRPr="006B2E8B">
        <w:t>A.</w:t>
      </w:r>
      <w:r w:rsidRPr="006B2E8B">
        <w:tab/>
      </w:r>
      <w:r w:rsidR="006D15F7" w:rsidRPr="006B2E8B">
        <w:t xml:space="preserve">The services of clinical social workers working within the scope of their </w:t>
      </w:r>
      <w:proofErr w:type="gramStart"/>
      <w:r w:rsidR="006D15F7" w:rsidRPr="006B2E8B">
        <w:t>State</w:t>
      </w:r>
      <w:proofErr w:type="gramEnd"/>
      <w:r w:rsidR="006D15F7" w:rsidRPr="006B2E8B">
        <w:t xml:space="preserve"> licenses are covered if the services would be covered if furnished by a physician or incident to physician services.</w:t>
      </w:r>
    </w:p>
    <w:p w14:paraId="7703FFAB" w14:textId="77777777" w:rsidR="006D15F7" w:rsidRPr="006B2E8B" w:rsidRDefault="006A2E43" w:rsidP="006A2E43">
      <w:pPr>
        <w:pStyle w:val="CLETTERED"/>
      </w:pPr>
      <w:r w:rsidRPr="006B2E8B">
        <w:t>B.</w:t>
      </w:r>
      <w:r w:rsidRPr="006B2E8B">
        <w:tab/>
      </w:r>
      <w:r w:rsidR="006D15F7" w:rsidRPr="006B2E8B">
        <w:t xml:space="preserve">Supplies and </w:t>
      </w:r>
      <w:proofErr w:type="gramStart"/>
      <w:r w:rsidR="006D15F7" w:rsidRPr="006B2E8B">
        <w:t>services incident</w:t>
      </w:r>
      <w:proofErr w:type="gramEnd"/>
      <w:r w:rsidR="006D15F7" w:rsidRPr="006B2E8B">
        <w:t xml:space="preserve"> to a clinical social worker's services are covered if they </w:t>
      </w:r>
      <w:proofErr w:type="gramStart"/>
      <w:r w:rsidR="006D15F7" w:rsidRPr="006B2E8B">
        <w:t>would be</w:t>
      </w:r>
      <w:proofErr w:type="gramEnd"/>
      <w:r w:rsidR="006D15F7" w:rsidRPr="006B2E8B">
        <w:t xml:space="preserve"> covered if incident to a physician's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B6F2C" w:rsidRPr="006B2E8B" w14:paraId="549ACED4" w14:textId="77777777" w:rsidTr="0082412B">
        <w:trPr>
          <w:cantSplit/>
        </w:trPr>
        <w:tc>
          <w:tcPr>
            <w:tcW w:w="8122" w:type="dxa"/>
            <w:tcBorders>
              <w:top w:val="single" w:sz="6" w:space="0" w:color="FFFFFF"/>
              <w:left w:val="single" w:sz="6" w:space="0" w:color="FFFFFF"/>
              <w:bottom w:val="single" w:sz="6" w:space="0" w:color="FFFFFF"/>
              <w:right w:val="single" w:sz="6" w:space="0" w:color="FFFFFF"/>
            </w:tcBorders>
          </w:tcPr>
          <w:p w14:paraId="6F74415F" w14:textId="77777777" w:rsidR="002B6F2C" w:rsidRPr="006B2E8B" w:rsidRDefault="002B6F2C" w:rsidP="002B6F2C">
            <w:pPr>
              <w:pStyle w:val="chead2"/>
              <w:numPr>
                <w:ilvl w:val="12"/>
                <w:numId w:val="0"/>
              </w:numPr>
              <w:ind w:left="1440" w:hanging="1440"/>
            </w:pPr>
            <w:bookmarkStart w:id="46" w:name="_Toc202162606"/>
            <w:r w:rsidRPr="006B2E8B">
              <w:t>212.260</w:t>
            </w:r>
            <w:r w:rsidRPr="006B2E8B">
              <w:tab/>
              <w:t>Licensed Certified Social Worker</w:t>
            </w:r>
            <w:bookmarkEnd w:id="46"/>
          </w:p>
        </w:tc>
        <w:tc>
          <w:tcPr>
            <w:tcW w:w="1238" w:type="dxa"/>
            <w:tcBorders>
              <w:top w:val="single" w:sz="6" w:space="0" w:color="FFFFFF"/>
              <w:left w:val="single" w:sz="6" w:space="0" w:color="FFFFFF"/>
              <w:bottom w:val="single" w:sz="6" w:space="0" w:color="FFFFFF"/>
              <w:right w:val="single" w:sz="6" w:space="0" w:color="FFFFFF"/>
            </w:tcBorders>
          </w:tcPr>
          <w:p w14:paraId="59FCDC43" w14:textId="77777777" w:rsidR="002B6F2C" w:rsidRPr="006B2E8B" w:rsidRDefault="002B6F2C" w:rsidP="002B6F2C">
            <w:pPr>
              <w:pStyle w:val="cDate2"/>
              <w:numPr>
                <w:ilvl w:val="12"/>
                <w:numId w:val="0"/>
              </w:numPr>
            </w:pPr>
            <w:r w:rsidRPr="006B2E8B">
              <w:t>1-1-22</w:t>
            </w:r>
          </w:p>
        </w:tc>
      </w:tr>
    </w:tbl>
    <w:p w14:paraId="51FD88B6" w14:textId="77777777" w:rsidR="002B6F2C" w:rsidRPr="006B2E8B" w:rsidRDefault="002B6F2C" w:rsidP="002B6F2C">
      <w:pPr>
        <w:pStyle w:val="CLETTERED"/>
      </w:pPr>
      <w:r w:rsidRPr="006B2E8B">
        <w:t>A.</w:t>
      </w:r>
      <w:r w:rsidRPr="006B2E8B">
        <w:tab/>
        <w:t xml:space="preserve">The services of licensed certified social workers working within the scope of their </w:t>
      </w:r>
      <w:proofErr w:type="gramStart"/>
      <w:r w:rsidRPr="006B2E8B">
        <w:t>State</w:t>
      </w:r>
      <w:proofErr w:type="gramEnd"/>
      <w:r w:rsidRPr="006B2E8B">
        <w:t xml:space="preserve"> licenses are covered if the services </w:t>
      </w:r>
      <w:proofErr w:type="gramStart"/>
      <w:r w:rsidRPr="006B2E8B">
        <w:t>would be</w:t>
      </w:r>
      <w:proofErr w:type="gramEnd"/>
      <w:r w:rsidRPr="006B2E8B">
        <w:t xml:space="preserve"> covered when furnished by a physician or incidental to physician services.</w:t>
      </w:r>
    </w:p>
    <w:p w14:paraId="067284F7" w14:textId="77777777" w:rsidR="002B6F2C" w:rsidRPr="006B2E8B" w:rsidRDefault="002B6F2C" w:rsidP="002B6F2C">
      <w:pPr>
        <w:pStyle w:val="CLETTERED"/>
      </w:pPr>
      <w:r w:rsidRPr="006B2E8B">
        <w:t>B.</w:t>
      </w:r>
      <w:r w:rsidRPr="006B2E8B">
        <w:tab/>
        <w:t xml:space="preserve">Supplies and services incidental to a licensed certified social worker's services are covered if they would be covered </w:t>
      </w:r>
      <w:proofErr w:type="gramStart"/>
      <w:r w:rsidRPr="006B2E8B">
        <w:t>incidental</w:t>
      </w:r>
      <w:proofErr w:type="gramEnd"/>
      <w:r w:rsidRPr="006B2E8B">
        <w:t xml:space="preserve"> to a physician's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2B6F2C" w:rsidRPr="006B2E8B" w14:paraId="77A3C359" w14:textId="77777777" w:rsidTr="002B6F2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26398D9" w14:textId="77777777" w:rsidR="002B6F2C" w:rsidRPr="006B2E8B" w:rsidRDefault="002B6F2C">
            <w:pPr>
              <w:pStyle w:val="chead2"/>
            </w:pPr>
            <w:bookmarkStart w:id="47" w:name="_Toc202162607"/>
            <w:r w:rsidRPr="006B2E8B">
              <w:t>212.270</w:t>
            </w:r>
            <w:r w:rsidRPr="006B2E8B">
              <w:tab/>
              <w:t>Licensed Professional Counselor</w:t>
            </w:r>
            <w:bookmarkEnd w:id="47"/>
          </w:p>
        </w:tc>
        <w:tc>
          <w:tcPr>
            <w:tcW w:w="1238" w:type="dxa"/>
            <w:tcBorders>
              <w:top w:val="single" w:sz="2" w:space="0" w:color="FFFFFF"/>
              <w:left w:val="single" w:sz="6" w:space="0" w:color="FFFFFF"/>
              <w:bottom w:val="single" w:sz="2" w:space="0" w:color="FFFFFF"/>
              <w:right w:val="single" w:sz="2" w:space="0" w:color="FFFFFF"/>
            </w:tcBorders>
            <w:hideMark/>
          </w:tcPr>
          <w:p w14:paraId="71EBA19C" w14:textId="77777777" w:rsidR="002B6F2C" w:rsidRPr="006B2E8B" w:rsidRDefault="002B6F2C">
            <w:pPr>
              <w:pStyle w:val="cDate2"/>
            </w:pPr>
            <w:r w:rsidRPr="006B2E8B">
              <w:t>1-1-22</w:t>
            </w:r>
          </w:p>
        </w:tc>
      </w:tr>
    </w:tbl>
    <w:p w14:paraId="608A19E7" w14:textId="77777777" w:rsidR="002B6F2C" w:rsidRPr="006B2E8B" w:rsidRDefault="002B6F2C" w:rsidP="002B6F2C">
      <w:pPr>
        <w:pStyle w:val="CLETTERED"/>
      </w:pPr>
      <w:r w:rsidRPr="006B2E8B">
        <w:t>A.</w:t>
      </w:r>
      <w:r w:rsidRPr="006B2E8B">
        <w:tab/>
        <w:t>The services of licensed professional counselors working within the scope of their state licenses are covered if the services would be covered when furnished by a physician or incidental to physician services.</w:t>
      </w:r>
    </w:p>
    <w:p w14:paraId="2D109467" w14:textId="77777777" w:rsidR="002B6F2C" w:rsidRPr="006B2E8B" w:rsidRDefault="002B6F2C" w:rsidP="002B6F2C">
      <w:pPr>
        <w:pStyle w:val="CLETTERED"/>
      </w:pPr>
      <w:r w:rsidRPr="006B2E8B">
        <w:t>B.</w:t>
      </w:r>
      <w:r w:rsidRPr="006B2E8B">
        <w:tab/>
        <w:t xml:space="preserve">Supplies and services incidental to a licensed professional counselor’s services are covered if they </w:t>
      </w:r>
      <w:proofErr w:type="gramStart"/>
      <w:r w:rsidRPr="006B2E8B">
        <w:t>would be</w:t>
      </w:r>
      <w:proofErr w:type="gramEnd"/>
      <w:r w:rsidRPr="006B2E8B">
        <w:t xml:space="preserve"> covered </w:t>
      </w:r>
      <w:proofErr w:type="gramStart"/>
      <w:r w:rsidRPr="006B2E8B">
        <w:t>incidental</w:t>
      </w:r>
      <w:proofErr w:type="gramEnd"/>
      <w:r w:rsidRPr="006B2E8B">
        <w:t xml:space="preserve"> to a physician's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2B6F2C" w:rsidRPr="006B2E8B" w14:paraId="11C58026" w14:textId="77777777" w:rsidTr="002B6F2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019F2F4" w14:textId="77777777" w:rsidR="002B6F2C" w:rsidRPr="006B2E8B" w:rsidRDefault="002B6F2C">
            <w:pPr>
              <w:pStyle w:val="chead2"/>
            </w:pPr>
            <w:bookmarkStart w:id="48" w:name="_Toc202162608"/>
            <w:r w:rsidRPr="006B2E8B">
              <w:t>212.280</w:t>
            </w:r>
            <w:r w:rsidRPr="006B2E8B">
              <w:tab/>
              <w:t>Licensed Mental Health Counselor</w:t>
            </w:r>
            <w:bookmarkEnd w:id="48"/>
          </w:p>
        </w:tc>
        <w:tc>
          <w:tcPr>
            <w:tcW w:w="1238" w:type="dxa"/>
            <w:tcBorders>
              <w:top w:val="single" w:sz="2" w:space="0" w:color="FFFFFF"/>
              <w:left w:val="single" w:sz="6" w:space="0" w:color="FFFFFF"/>
              <w:bottom w:val="single" w:sz="2" w:space="0" w:color="FFFFFF"/>
              <w:right w:val="single" w:sz="2" w:space="0" w:color="FFFFFF"/>
            </w:tcBorders>
            <w:hideMark/>
          </w:tcPr>
          <w:p w14:paraId="2E8A7C0B" w14:textId="77777777" w:rsidR="002B6F2C" w:rsidRPr="006B2E8B" w:rsidRDefault="002B6F2C">
            <w:pPr>
              <w:pStyle w:val="cDate2"/>
            </w:pPr>
            <w:r w:rsidRPr="006B2E8B">
              <w:t>1-1-22</w:t>
            </w:r>
          </w:p>
        </w:tc>
      </w:tr>
    </w:tbl>
    <w:p w14:paraId="60D1F696" w14:textId="77777777" w:rsidR="002B6F2C" w:rsidRPr="006B2E8B" w:rsidRDefault="002B6F2C" w:rsidP="002B6F2C">
      <w:pPr>
        <w:pStyle w:val="CLETTERED"/>
      </w:pPr>
      <w:r w:rsidRPr="006B2E8B">
        <w:t>A.</w:t>
      </w:r>
      <w:r w:rsidRPr="006B2E8B">
        <w:tab/>
        <w:t>The services of licensed mental health counselors working within the scope of their state licenses are covered if the services would be covered when furnished by a physician or incidental to physician services.</w:t>
      </w:r>
    </w:p>
    <w:p w14:paraId="71EDCEF3" w14:textId="77777777" w:rsidR="002B6F2C" w:rsidRPr="006B2E8B" w:rsidRDefault="002B6F2C" w:rsidP="002B6F2C">
      <w:pPr>
        <w:pStyle w:val="CLETTERED"/>
      </w:pPr>
      <w:r w:rsidRPr="006B2E8B">
        <w:t>B.</w:t>
      </w:r>
      <w:r w:rsidRPr="006B2E8B">
        <w:tab/>
        <w:t xml:space="preserve">Supplies and services incidental to a licensed mental health counselor’s services are covered if they </w:t>
      </w:r>
      <w:proofErr w:type="gramStart"/>
      <w:r w:rsidRPr="006B2E8B">
        <w:t>would be</w:t>
      </w:r>
      <w:proofErr w:type="gramEnd"/>
      <w:r w:rsidRPr="006B2E8B">
        <w:t xml:space="preserve"> covered when incidental to a physician's services.</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8122"/>
        <w:gridCol w:w="1238"/>
      </w:tblGrid>
      <w:tr w:rsidR="002B6F2C" w:rsidRPr="006B2E8B" w14:paraId="2712CCB8" w14:textId="77777777" w:rsidTr="002B6F2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4B294726" w14:textId="77777777" w:rsidR="002B6F2C" w:rsidRPr="006B2E8B" w:rsidRDefault="002B6F2C">
            <w:pPr>
              <w:pStyle w:val="chead2"/>
            </w:pPr>
            <w:bookmarkStart w:id="49" w:name="_Toc202162609"/>
            <w:r w:rsidRPr="006B2E8B">
              <w:t>212.290</w:t>
            </w:r>
            <w:r w:rsidRPr="006B2E8B">
              <w:tab/>
              <w:t>Licensed Marriage and Family Therapist</w:t>
            </w:r>
            <w:bookmarkEnd w:id="49"/>
          </w:p>
        </w:tc>
        <w:tc>
          <w:tcPr>
            <w:tcW w:w="1238" w:type="dxa"/>
            <w:tcBorders>
              <w:top w:val="single" w:sz="2" w:space="0" w:color="FFFFFF"/>
              <w:left w:val="single" w:sz="6" w:space="0" w:color="FFFFFF"/>
              <w:bottom w:val="single" w:sz="2" w:space="0" w:color="FFFFFF"/>
              <w:right w:val="single" w:sz="2" w:space="0" w:color="FFFFFF"/>
            </w:tcBorders>
            <w:hideMark/>
          </w:tcPr>
          <w:p w14:paraId="099B54D9" w14:textId="77777777" w:rsidR="002B6F2C" w:rsidRPr="006B2E8B" w:rsidRDefault="002B6F2C">
            <w:pPr>
              <w:pStyle w:val="cDate2"/>
            </w:pPr>
            <w:r w:rsidRPr="006B2E8B">
              <w:t>1-1-22</w:t>
            </w:r>
          </w:p>
        </w:tc>
      </w:tr>
    </w:tbl>
    <w:p w14:paraId="1744780D" w14:textId="77777777" w:rsidR="002B6F2C" w:rsidRPr="006B2E8B" w:rsidRDefault="002B6F2C" w:rsidP="002B6F2C">
      <w:pPr>
        <w:pStyle w:val="CLETTERED"/>
      </w:pPr>
      <w:r w:rsidRPr="006B2E8B">
        <w:t>A.</w:t>
      </w:r>
      <w:r w:rsidRPr="006B2E8B">
        <w:tab/>
        <w:t xml:space="preserve">The services of licensed marriage and family therapists working within the scope of their state licenses are covered if the services </w:t>
      </w:r>
      <w:proofErr w:type="gramStart"/>
      <w:r w:rsidRPr="006B2E8B">
        <w:t>would be</w:t>
      </w:r>
      <w:proofErr w:type="gramEnd"/>
      <w:r w:rsidRPr="006B2E8B">
        <w:t xml:space="preserve"> covered when furnished by a physician or incidental to physician services.</w:t>
      </w:r>
    </w:p>
    <w:p w14:paraId="38BE4FF5" w14:textId="77777777" w:rsidR="002B6F2C" w:rsidRPr="006B2E8B" w:rsidRDefault="002B6F2C" w:rsidP="002B6F2C">
      <w:pPr>
        <w:pStyle w:val="CLETTERED"/>
      </w:pPr>
      <w:r w:rsidRPr="006B2E8B">
        <w:t>B.</w:t>
      </w:r>
      <w:r w:rsidRPr="006B2E8B">
        <w:tab/>
        <w:t>Supplies and services incidental to a licensed marriage and family therapist’s services are covered if they would be covered when incidental to a physician's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82B8AC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80E3D8C" w14:textId="77777777" w:rsidR="006D15F7" w:rsidRPr="006B2E8B" w:rsidRDefault="006D15F7">
            <w:pPr>
              <w:pStyle w:val="chead2"/>
              <w:numPr>
                <w:ilvl w:val="12"/>
                <w:numId w:val="0"/>
              </w:numPr>
              <w:ind w:left="1440" w:hanging="1440"/>
            </w:pPr>
            <w:bookmarkStart w:id="50" w:name="_Toc40064378"/>
            <w:bookmarkStart w:id="51" w:name="_Toc202162610"/>
            <w:r w:rsidRPr="006B2E8B">
              <w:lastRenderedPageBreak/>
              <w:t>212.300</w:t>
            </w:r>
            <w:r w:rsidRPr="006B2E8B">
              <w:tab/>
              <w:t>Off-Site FQHC Services</w:t>
            </w:r>
            <w:bookmarkEnd w:id="50"/>
            <w:bookmarkEnd w:id="51"/>
          </w:p>
        </w:tc>
        <w:tc>
          <w:tcPr>
            <w:tcW w:w="1238" w:type="dxa"/>
            <w:tcBorders>
              <w:top w:val="single" w:sz="6" w:space="0" w:color="FFFFFF"/>
              <w:left w:val="single" w:sz="6" w:space="0" w:color="FFFFFF"/>
              <w:bottom w:val="single" w:sz="6" w:space="0" w:color="FFFFFF"/>
              <w:right w:val="single" w:sz="6" w:space="0" w:color="FFFFFF"/>
            </w:tcBorders>
          </w:tcPr>
          <w:p w14:paraId="555C1201"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978BD87" w14:textId="77777777" w:rsidR="006D15F7" w:rsidRPr="006B2E8B" w:rsidRDefault="006D15F7">
      <w:pPr>
        <w:pStyle w:val="ctext"/>
        <w:numPr>
          <w:ilvl w:val="12"/>
          <w:numId w:val="0"/>
        </w:numPr>
        <w:ind w:left="360"/>
      </w:pPr>
      <w:r w:rsidRPr="006B2E8B">
        <w:t xml:space="preserve">FQHC services furnished off-site are covered under the FQHC benefit when the employed practitioner of the FQHC furnishes the services on behalf of the FQHC or when the FQHC practitioner's agreement with the FQHC requires that he or she </w:t>
      </w:r>
      <w:proofErr w:type="gramStart"/>
      <w:r w:rsidRPr="006B2E8B">
        <w:t>provide</w:t>
      </w:r>
      <w:proofErr w:type="gramEnd"/>
      <w:r w:rsidRPr="006B2E8B">
        <w:t xml:space="preserve"> the services and </w:t>
      </w:r>
      <w:proofErr w:type="gramStart"/>
      <w:r w:rsidRPr="006B2E8B">
        <w:t>seek</w:t>
      </w:r>
      <w:proofErr w:type="gramEnd"/>
      <w:r w:rsidRPr="006B2E8B">
        <w:t xml:space="preserve"> compensation from the FQHC.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601CA1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80BC2D4" w14:textId="77777777" w:rsidR="006D15F7" w:rsidRPr="006B2E8B" w:rsidRDefault="006D15F7">
            <w:pPr>
              <w:pStyle w:val="chead2"/>
              <w:numPr>
                <w:ilvl w:val="12"/>
                <w:numId w:val="0"/>
              </w:numPr>
              <w:ind w:left="1440" w:hanging="1440"/>
            </w:pPr>
            <w:bookmarkStart w:id="52" w:name="_Toc40064379"/>
            <w:bookmarkStart w:id="53" w:name="_Toc202162611"/>
            <w:r w:rsidRPr="006B2E8B">
              <w:t>212.310</w:t>
            </w:r>
            <w:r w:rsidRPr="006B2E8B">
              <w:tab/>
            </w:r>
            <w:smartTag w:uri="urn:schemas-microsoft-com:office:smarttags" w:element="place">
              <w:smartTag w:uri="urn:schemas-microsoft-com:office:smarttags" w:element="PlaceName">
                <w:r w:rsidRPr="006B2E8B">
                  <w:t>Inpatient</w:t>
                </w:r>
              </w:smartTag>
              <w:r w:rsidRPr="006B2E8B">
                <w:t xml:space="preserve"> </w:t>
              </w:r>
              <w:smartTag w:uri="urn:schemas-microsoft-com:office:smarttags" w:element="PlaceType">
                <w:r w:rsidRPr="006B2E8B">
                  <w:t>Hospital</w:t>
                </w:r>
              </w:smartTag>
            </w:smartTag>
            <w:r w:rsidRPr="006B2E8B">
              <w:t xml:space="preserve"> Visits</w:t>
            </w:r>
            <w:bookmarkEnd w:id="52"/>
            <w:bookmarkEnd w:id="53"/>
          </w:p>
        </w:tc>
        <w:tc>
          <w:tcPr>
            <w:tcW w:w="1238" w:type="dxa"/>
            <w:tcBorders>
              <w:top w:val="single" w:sz="6" w:space="0" w:color="FFFFFF"/>
              <w:left w:val="single" w:sz="6" w:space="0" w:color="FFFFFF"/>
              <w:bottom w:val="single" w:sz="6" w:space="0" w:color="FFFFFF"/>
              <w:right w:val="single" w:sz="6" w:space="0" w:color="FFFFFF"/>
            </w:tcBorders>
          </w:tcPr>
          <w:p w14:paraId="363E103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DB32E66" w14:textId="77777777" w:rsidR="006D15F7" w:rsidRPr="006B2E8B" w:rsidRDefault="006D15F7">
      <w:pPr>
        <w:pStyle w:val="ctext"/>
        <w:numPr>
          <w:ilvl w:val="12"/>
          <w:numId w:val="0"/>
        </w:numPr>
        <w:ind w:left="360"/>
      </w:pPr>
      <w:r w:rsidRPr="006B2E8B">
        <w:t>Inpatient hospital visits are covered under the FQHC benefit when the practitioner visiting the patient is licensed and qualified to perform that service and is providing the service on behalf of the FQHC or because the practitioner's agreement with the FQHC requires that he or she provide the service and seek compensation from the FQHC.  Medicaid covers one visit per Medicaid-covered hospital day, regardless of the number of times the practitioner sees the patient.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903BD8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E07C890" w14:textId="77777777" w:rsidR="006D15F7" w:rsidRPr="006B2E8B" w:rsidRDefault="006D15F7">
            <w:pPr>
              <w:pStyle w:val="chead2"/>
              <w:numPr>
                <w:ilvl w:val="12"/>
                <w:numId w:val="0"/>
              </w:numPr>
              <w:ind w:left="1440" w:hanging="1440"/>
            </w:pPr>
            <w:bookmarkStart w:id="54" w:name="_Toc40064380"/>
            <w:bookmarkStart w:id="55" w:name="_Toc202162612"/>
            <w:r w:rsidRPr="006B2E8B">
              <w:t>212.400</w:t>
            </w:r>
            <w:r w:rsidRPr="006B2E8B">
              <w:tab/>
              <w:t>Interactive Electronic ("Telemedicine") Encounters</w:t>
            </w:r>
            <w:bookmarkEnd w:id="54"/>
            <w:bookmarkEnd w:id="55"/>
          </w:p>
        </w:tc>
        <w:tc>
          <w:tcPr>
            <w:tcW w:w="1238" w:type="dxa"/>
            <w:tcBorders>
              <w:top w:val="single" w:sz="6" w:space="0" w:color="FFFFFF"/>
              <w:left w:val="single" w:sz="6" w:space="0" w:color="FFFFFF"/>
              <w:bottom w:val="single" w:sz="6" w:space="0" w:color="FFFFFF"/>
              <w:right w:val="single" w:sz="6" w:space="0" w:color="FFFFFF"/>
            </w:tcBorders>
          </w:tcPr>
          <w:p w14:paraId="7BA5F70E" w14:textId="77777777" w:rsidR="006D15F7" w:rsidRPr="006B2E8B" w:rsidRDefault="001541EA">
            <w:pPr>
              <w:pStyle w:val="cDate2"/>
              <w:numPr>
                <w:ilvl w:val="12"/>
                <w:numId w:val="0"/>
              </w:numPr>
            </w:pPr>
            <w:r w:rsidRPr="006B2E8B">
              <w:t>8-1-18</w:t>
            </w:r>
          </w:p>
        </w:tc>
      </w:tr>
    </w:tbl>
    <w:p w14:paraId="0F8A13F3" w14:textId="77777777" w:rsidR="006D15F7" w:rsidRPr="006B2E8B" w:rsidRDefault="001541EA" w:rsidP="001541EA">
      <w:pPr>
        <w:pStyle w:val="ctext"/>
        <w:numPr>
          <w:ilvl w:val="12"/>
          <w:numId w:val="0"/>
        </w:numPr>
        <w:ind w:left="360"/>
      </w:pPr>
      <w:r w:rsidRPr="006B2E8B">
        <w:t>See Section I for Telemedicine policy and Section III for Telemedicine billing protocol.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96AF52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F2BFE16" w14:textId="77777777" w:rsidR="006D15F7" w:rsidRPr="006B2E8B" w:rsidRDefault="006D15F7">
            <w:pPr>
              <w:pStyle w:val="chead2"/>
              <w:numPr>
                <w:ilvl w:val="12"/>
                <w:numId w:val="0"/>
              </w:numPr>
              <w:ind w:left="1440" w:hanging="1440"/>
            </w:pPr>
            <w:bookmarkStart w:id="56" w:name="_Toc40064381"/>
            <w:bookmarkStart w:id="57" w:name="_Toc202162613"/>
            <w:r w:rsidRPr="006B2E8B">
              <w:t>213.000</w:t>
            </w:r>
            <w:r w:rsidRPr="006B2E8B">
              <w:tab/>
              <w:t>FQHC Other Ambulatory Services</w:t>
            </w:r>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15BF5D4C"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74B3953" w14:textId="77777777" w:rsidR="006D15F7" w:rsidRPr="006B2E8B" w:rsidRDefault="006D15F7">
      <w:pPr>
        <w:pStyle w:val="ctext"/>
        <w:numPr>
          <w:ilvl w:val="12"/>
          <w:numId w:val="0"/>
        </w:numPr>
        <w:ind w:left="360"/>
      </w:pPr>
      <w:r w:rsidRPr="006B2E8B">
        <w:t>FQHC other ambulatory services are other services covered under the Arkansas Title XIX (Medicaid) State Plan that the FQHC offers beyond FQHC core services, such as dental or optometry services.  FQHCs may enroll as "pay to" providers in the Medicaid programs in which those services are covered, such as the Arkansas Medicaid Dental Program for coverage of dental services and the Arkansas Medicaid Visual Care Program for optometry services and eyeglasses.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150A815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BE2F76D" w14:textId="77777777" w:rsidR="006D15F7" w:rsidRPr="006B2E8B" w:rsidRDefault="006D15F7">
            <w:pPr>
              <w:pStyle w:val="chead2"/>
              <w:numPr>
                <w:ilvl w:val="12"/>
                <w:numId w:val="0"/>
              </w:numPr>
              <w:ind w:left="1440" w:hanging="1440"/>
            </w:pPr>
            <w:bookmarkStart w:id="58" w:name="_Toc40064382"/>
            <w:bookmarkStart w:id="59" w:name="_Toc202162614"/>
            <w:r w:rsidRPr="006B2E8B">
              <w:t>214.000</w:t>
            </w:r>
            <w:r w:rsidRPr="006B2E8B">
              <w:tab/>
              <w:t>FQHC Encounters</w:t>
            </w:r>
            <w:bookmarkEnd w:id="58"/>
            <w:bookmarkEnd w:id="59"/>
          </w:p>
        </w:tc>
        <w:tc>
          <w:tcPr>
            <w:tcW w:w="1238" w:type="dxa"/>
            <w:tcBorders>
              <w:top w:val="single" w:sz="6" w:space="0" w:color="FFFFFF"/>
              <w:left w:val="single" w:sz="6" w:space="0" w:color="FFFFFF"/>
              <w:bottom w:val="single" w:sz="6" w:space="0" w:color="FFFFFF"/>
              <w:right w:val="single" w:sz="6" w:space="0" w:color="FFFFFF"/>
            </w:tcBorders>
          </w:tcPr>
          <w:p w14:paraId="3D3AD502"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F110215" w14:textId="77777777" w:rsidR="006D15F7" w:rsidRPr="006B2E8B" w:rsidRDefault="006A2E43" w:rsidP="006A2E43">
      <w:pPr>
        <w:pStyle w:val="CLETTERED"/>
      </w:pPr>
      <w:r w:rsidRPr="006B2E8B">
        <w:t>A.</w:t>
      </w:r>
      <w:r w:rsidRPr="006B2E8B">
        <w:tab/>
      </w:r>
      <w:r w:rsidR="006D15F7" w:rsidRPr="006B2E8B">
        <w:t xml:space="preserve">An FQHC encounter is </w:t>
      </w:r>
      <w:proofErr w:type="gramStart"/>
      <w:r w:rsidR="006D15F7" w:rsidRPr="006B2E8B">
        <w:t>a face</w:t>
      </w:r>
      <w:proofErr w:type="gramEnd"/>
      <w:r w:rsidR="006D15F7" w:rsidRPr="006B2E8B">
        <w:t>-to-face contact between a patient of the FQHC and a health care professional whose services are covered by the Arkansas Title XIX (Medicaid) State Plan.</w:t>
      </w:r>
    </w:p>
    <w:p w14:paraId="5A89B5CC" w14:textId="77777777" w:rsidR="006D15F7" w:rsidRPr="006B2E8B" w:rsidRDefault="006A2E43" w:rsidP="006A2E43">
      <w:pPr>
        <w:pStyle w:val="CLETTERED"/>
      </w:pPr>
      <w:r w:rsidRPr="006B2E8B">
        <w:t>B.</w:t>
      </w:r>
      <w:r w:rsidRPr="006B2E8B">
        <w:tab/>
      </w:r>
      <w:r w:rsidR="006D15F7" w:rsidRPr="006B2E8B">
        <w:t>For coverage and reimbursement purposes, Arkansas Medicaid distinguishes between "core services" encounters and "other ambulatory services" encounters.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1010410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010289A" w14:textId="77777777" w:rsidR="006D15F7" w:rsidRPr="006B2E8B" w:rsidRDefault="006D15F7">
            <w:pPr>
              <w:pStyle w:val="chead2"/>
              <w:numPr>
                <w:ilvl w:val="12"/>
                <w:numId w:val="0"/>
              </w:numPr>
              <w:ind w:left="1440" w:hanging="1440"/>
            </w:pPr>
            <w:bookmarkStart w:id="60" w:name="_Toc40064383"/>
            <w:bookmarkStart w:id="61" w:name="_Toc202162615"/>
            <w:r w:rsidRPr="006B2E8B">
              <w:t>214.100</w:t>
            </w:r>
            <w:r w:rsidRPr="006B2E8B">
              <w:tab/>
              <w:t>Definition of an FQHC "Core Service" Encounter</w:t>
            </w:r>
            <w:bookmarkEnd w:id="60"/>
            <w:bookmarkEnd w:id="61"/>
          </w:p>
        </w:tc>
        <w:tc>
          <w:tcPr>
            <w:tcW w:w="1238" w:type="dxa"/>
            <w:tcBorders>
              <w:top w:val="single" w:sz="6" w:space="0" w:color="FFFFFF"/>
              <w:left w:val="single" w:sz="6" w:space="0" w:color="FFFFFF"/>
              <w:bottom w:val="single" w:sz="6" w:space="0" w:color="FFFFFF"/>
              <w:right w:val="single" w:sz="6" w:space="0" w:color="FFFFFF"/>
            </w:tcBorders>
          </w:tcPr>
          <w:p w14:paraId="36F27F73" w14:textId="77777777" w:rsidR="006D15F7" w:rsidRPr="006B2E8B" w:rsidRDefault="002B6F2C">
            <w:pPr>
              <w:pStyle w:val="cDate2"/>
              <w:numPr>
                <w:ilvl w:val="12"/>
                <w:numId w:val="0"/>
              </w:numPr>
            </w:pPr>
            <w:r w:rsidRPr="006B2E8B">
              <w:t>1-1-22</w:t>
            </w:r>
          </w:p>
        </w:tc>
      </w:tr>
    </w:tbl>
    <w:p w14:paraId="5A9AC896" w14:textId="77777777" w:rsidR="006D15F7" w:rsidRPr="006B2E8B" w:rsidRDefault="002B6F2C" w:rsidP="002B6F2C">
      <w:pPr>
        <w:pStyle w:val="ctext"/>
        <w:numPr>
          <w:ilvl w:val="12"/>
          <w:numId w:val="0"/>
        </w:numPr>
        <w:ind w:left="360"/>
      </w:pPr>
      <w:r w:rsidRPr="006B2E8B">
        <w:t>A Federally Qualified Health Center (FQHC) "core service" encounter is a face-to-face contact between a patient of the FQHC and a physician, physician assistant, nurse practitioner, licensed clinical psychologist, licensed clinical social worker, licensed professional counselor, licensed mental health counselor, or licensed marriage and family therapist and includes services and supplies incidental to the face-to-face contact.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D96B1B" w:rsidRPr="006B2E8B" w14:paraId="5D785304"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7F0DFAAE" w14:textId="77777777" w:rsidR="00D96B1B" w:rsidRPr="006B2E8B" w:rsidRDefault="00D96B1B" w:rsidP="00D96B1B">
            <w:pPr>
              <w:pStyle w:val="chead2"/>
              <w:numPr>
                <w:ilvl w:val="12"/>
                <w:numId w:val="0"/>
              </w:numPr>
              <w:ind w:left="1440" w:hanging="1440"/>
            </w:pPr>
            <w:bookmarkStart w:id="62" w:name="_Toc40064384"/>
            <w:bookmarkStart w:id="63" w:name="_Toc202162616"/>
            <w:r w:rsidRPr="006B2E8B">
              <w:t>214.101</w:t>
            </w:r>
            <w:r w:rsidRPr="006B2E8B">
              <w:tab/>
              <w:t>Group Psychotherapy as an FQHC Core Service Encounter</w:t>
            </w:r>
            <w:bookmarkEnd w:id="62"/>
            <w:bookmarkEnd w:id="63"/>
          </w:p>
        </w:tc>
        <w:tc>
          <w:tcPr>
            <w:tcW w:w="1238" w:type="dxa"/>
            <w:tcBorders>
              <w:top w:val="single" w:sz="6" w:space="0" w:color="FFFFFF"/>
              <w:left w:val="single" w:sz="6" w:space="0" w:color="FFFFFF"/>
              <w:bottom w:val="single" w:sz="6" w:space="0" w:color="FFFFFF"/>
              <w:right w:val="single" w:sz="6" w:space="0" w:color="FFFFFF"/>
            </w:tcBorders>
          </w:tcPr>
          <w:p w14:paraId="5656DD65" w14:textId="77777777" w:rsidR="00D96B1B" w:rsidRPr="006B2E8B" w:rsidRDefault="00D96B1B" w:rsidP="00D96B1B">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C15ACCC" w14:textId="77777777" w:rsidR="00D96B1B" w:rsidRPr="006B2E8B" w:rsidRDefault="00D96B1B" w:rsidP="005404D5">
      <w:pPr>
        <w:pStyle w:val="ctext"/>
        <w:numPr>
          <w:ilvl w:val="12"/>
          <w:numId w:val="0"/>
        </w:numPr>
        <w:ind w:left="360"/>
      </w:pPr>
      <w:r w:rsidRPr="006B2E8B">
        <w:t>Group psychotherapy is covered as an FQHC core service.</w:t>
      </w:r>
    </w:p>
    <w:p w14:paraId="169300FA" w14:textId="77777777" w:rsidR="00D96B1B" w:rsidRPr="006B2E8B" w:rsidRDefault="00D96B1B" w:rsidP="005404D5">
      <w:pPr>
        <w:pStyle w:val="CLETTERED"/>
      </w:pPr>
      <w:r w:rsidRPr="006B2E8B">
        <w:t>A.</w:t>
      </w:r>
      <w:r w:rsidRPr="006B2E8B">
        <w:tab/>
        <w:t>The number of Medicaid-covered encounters per session is equal to the number of Medicaid-eligible beneficiaries in the group.</w:t>
      </w:r>
    </w:p>
    <w:p w14:paraId="20993BD5" w14:textId="77777777" w:rsidR="00D96B1B" w:rsidRPr="006B2E8B" w:rsidRDefault="00D96B1B" w:rsidP="00D96B1B">
      <w:pPr>
        <w:pStyle w:val="CLETTERED"/>
      </w:pPr>
      <w:r w:rsidRPr="006B2E8B">
        <w:t>B.</w:t>
      </w:r>
      <w:r w:rsidRPr="006B2E8B">
        <w:tab/>
        <w:t>The total number of encounters per session is equal to the number of individuals in the group, both Medicaid-eligible and Medicaid non-eligible.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129BBE8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1991905" w14:textId="77777777" w:rsidR="006D15F7" w:rsidRPr="006B2E8B" w:rsidRDefault="006D15F7">
            <w:pPr>
              <w:pStyle w:val="chead2"/>
              <w:numPr>
                <w:ilvl w:val="12"/>
                <w:numId w:val="0"/>
              </w:numPr>
              <w:ind w:left="1440" w:hanging="1440"/>
            </w:pPr>
            <w:bookmarkStart w:id="64" w:name="_Toc40064385"/>
            <w:bookmarkStart w:id="65" w:name="_Toc202162617"/>
            <w:r w:rsidRPr="006B2E8B">
              <w:lastRenderedPageBreak/>
              <w:t>214.110</w:t>
            </w:r>
            <w:r w:rsidRPr="006B2E8B">
              <w:tab/>
              <w:t>Services "Incident To" an FQHC Core Service Encounter</w:t>
            </w:r>
            <w:bookmarkEnd w:id="64"/>
            <w:bookmarkEnd w:id="65"/>
          </w:p>
        </w:tc>
        <w:tc>
          <w:tcPr>
            <w:tcW w:w="1238" w:type="dxa"/>
            <w:tcBorders>
              <w:top w:val="single" w:sz="6" w:space="0" w:color="FFFFFF"/>
              <w:left w:val="single" w:sz="6" w:space="0" w:color="FFFFFF"/>
              <w:bottom w:val="single" w:sz="6" w:space="0" w:color="FFFFFF"/>
              <w:right w:val="single" w:sz="6" w:space="0" w:color="FFFFFF"/>
            </w:tcBorders>
          </w:tcPr>
          <w:p w14:paraId="5961A8F6"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BE94716" w14:textId="77777777" w:rsidR="006D15F7" w:rsidRPr="006B2E8B" w:rsidRDefault="006D15F7">
      <w:pPr>
        <w:pStyle w:val="ctext"/>
        <w:numPr>
          <w:ilvl w:val="12"/>
          <w:numId w:val="0"/>
        </w:numPr>
        <w:ind w:left="360"/>
      </w:pPr>
      <w:r w:rsidRPr="006B2E8B">
        <w:t>Services defined as "incident to" services are components of the encounter of which they are "incident to."  They are not considered separate encounters, even if they occur on different days.</w:t>
      </w:r>
    </w:p>
    <w:p w14:paraId="3F591579" w14:textId="77777777" w:rsidR="006D15F7" w:rsidRPr="006B2E8B" w:rsidRDefault="006D15F7">
      <w:pPr>
        <w:pStyle w:val="ctext"/>
        <w:numPr>
          <w:ilvl w:val="12"/>
          <w:numId w:val="0"/>
        </w:numPr>
        <w:ind w:left="360"/>
      </w:pPr>
      <w:r w:rsidRPr="006B2E8B">
        <w:t>For example, a nurse practitioner at the FQHC may instruct a patient to return to the clinic every day for a specified period for blood pressure checks.  The blood pressure checks are incident to the encounter and are not separate encounters.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7648AE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7998DCF" w14:textId="77777777" w:rsidR="006D15F7" w:rsidRPr="006B2E8B" w:rsidRDefault="006D15F7">
            <w:pPr>
              <w:pStyle w:val="chead2"/>
              <w:numPr>
                <w:ilvl w:val="12"/>
                <w:numId w:val="0"/>
              </w:numPr>
              <w:ind w:left="1440" w:hanging="1440"/>
            </w:pPr>
            <w:bookmarkStart w:id="66" w:name="_Toc40064386"/>
            <w:bookmarkStart w:id="67" w:name="_Toc202162618"/>
            <w:r w:rsidRPr="006B2E8B">
              <w:t>214.111</w:t>
            </w:r>
            <w:r w:rsidRPr="006B2E8B">
              <w:tab/>
              <w:t>Ancillary Services “Incident To” Core Service Encounters</w:t>
            </w:r>
            <w:bookmarkEnd w:id="66"/>
            <w:bookmarkEnd w:id="67"/>
          </w:p>
        </w:tc>
        <w:tc>
          <w:tcPr>
            <w:tcW w:w="1238" w:type="dxa"/>
            <w:tcBorders>
              <w:top w:val="single" w:sz="6" w:space="0" w:color="FFFFFF"/>
              <w:left w:val="single" w:sz="6" w:space="0" w:color="FFFFFF"/>
              <w:bottom w:val="single" w:sz="6" w:space="0" w:color="FFFFFF"/>
              <w:right w:val="single" w:sz="6" w:space="0" w:color="FFFFFF"/>
            </w:tcBorders>
          </w:tcPr>
          <w:p w14:paraId="38E229A6"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7320308" w14:textId="77777777" w:rsidR="006D15F7" w:rsidRPr="006B2E8B" w:rsidRDefault="006D15F7">
      <w:pPr>
        <w:pStyle w:val="ctext"/>
        <w:numPr>
          <w:ilvl w:val="12"/>
          <w:numId w:val="0"/>
        </w:numPr>
        <w:ind w:left="360"/>
      </w:pPr>
      <w:r w:rsidRPr="006B2E8B">
        <w:t xml:space="preserve">Laboratory, </w:t>
      </w:r>
      <w:proofErr w:type="gramStart"/>
      <w:r w:rsidRPr="006B2E8B">
        <w:t>X-ray</w:t>
      </w:r>
      <w:proofErr w:type="gramEnd"/>
      <w:r w:rsidRPr="006B2E8B">
        <w:t xml:space="preserve"> and machine test procedures are ancillary services that are incident to core service encounters.</w:t>
      </w:r>
    </w:p>
    <w:p w14:paraId="64AB2372" w14:textId="77777777" w:rsidR="006D15F7" w:rsidRPr="006B2E8B" w:rsidRDefault="006A2E43" w:rsidP="006A2E43">
      <w:pPr>
        <w:pStyle w:val="CLETTERED"/>
      </w:pPr>
      <w:r w:rsidRPr="006B2E8B">
        <w:t>A.</w:t>
      </w:r>
      <w:r w:rsidRPr="006B2E8B">
        <w:tab/>
      </w:r>
      <w:r w:rsidR="006D15F7" w:rsidRPr="006B2E8B">
        <w:t>FQHCs may report these services by procedure code, separately from the applicable encounter code.</w:t>
      </w:r>
    </w:p>
    <w:p w14:paraId="147BA894" w14:textId="77777777" w:rsidR="006D15F7" w:rsidRPr="006B2E8B" w:rsidRDefault="006A2E43" w:rsidP="006A2E43">
      <w:pPr>
        <w:pStyle w:val="CLETTERED"/>
      </w:pPr>
      <w:r w:rsidRPr="006B2E8B">
        <w:t>B.</w:t>
      </w:r>
      <w:r w:rsidRPr="006B2E8B">
        <w:tab/>
      </w:r>
      <w:r w:rsidR="006D15F7" w:rsidRPr="006B2E8B">
        <w:t>See Section 262.400 for any special billing instructions.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04AF92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6FEF946" w14:textId="77777777" w:rsidR="006D15F7" w:rsidRPr="006B2E8B" w:rsidRDefault="006D15F7">
            <w:pPr>
              <w:pStyle w:val="chead2"/>
              <w:numPr>
                <w:ilvl w:val="12"/>
                <w:numId w:val="0"/>
              </w:numPr>
              <w:ind w:left="1440" w:hanging="1440"/>
            </w:pPr>
            <w:bookmarkStart w:id="68" w:name="_Toc40064387"/>
            <w:bookmarkStart w:id="69" w:name="_Toc202162619"/>
            <w:r w:rsidRPr="006B2E8B">
              <w:t>214.112</w:t>
            </w:r>
            <w:r w:rsidRPr="006B2E8B">
              <w:tab/>
              <w:t>Specimen Handling and Collection</w:t>
            </w:r>
            <w:bookmarkEnd w:id="68"/>
            <w:bookmarkEnd w:id="69"/>
          </w:p>
        </w:tc>
        <w:tc>
          <w:tcPr>
            <w:tcW w:w="1238" w:type="dxa"/>
            <w:tcBorders>
              <w:top w:val="single" w:sz="6" w:space="0" w:color="FFFFFF"/>
              <w:left w:val="single" w:sz="6" w:space="0" w:color="FFFFFF"/>
              <w:bottom w:val="single" w:sz="6" w:space="0" w:color="FFFFFF"/>
              <w:right w:val="single" w:sz="6" w:space="0" w:color="FFFFFF"/>
            </w:tcBorders>
          </w:tcPr>
          <w:p w14:paraId="5EADE585"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7454533" w14:textId="77777777" w:rsidR="006D15F7" w:rsidRPr="006B2E8B" w:rsidRDefault="006D15F7">
      <w:pPr>
        <w:pStyle w:val="ctext"/>
        <w:numPr>
          <w:ilvl w:val="12"/>
          <w:numId w:val="0"/>
        </w:numPr>
        <w:ind w:left="360"/>
      </w:pPr>
      <w:r w:rsidRPr="006B2E8B">
        <w:t>Specimen handling fees are not covered.</w:t>
      </w:r>
    </w:p>
    <w:p w14:paraId="677CB547" w14:textId="77777777" w:rsidR="006D15F7" w:rsidRPr="006B2E8B" w:rsidRDefault="006A2E43" w:rsidP="006A2E43">
      <w:pPr>
        <w:pStyle w:val="CLETTERED"/>
      </w:pPr>
      <w:r w:rsidRPr="006B2E8B">
        <w:t>A.</w:t>
      </w:r>
      <w:r w:rsidRPr="006B2E8B">
        <w:tab/>
      </w:r>
      <w:r w:rsidR="006D15F7" w:rsidRPr="006B2E8B">
        <w:t>Specimen collection is:</w:t>
      </w:r>
    </w:p>
    <w:p w14:paraId="36435962" w14:textId="77777777" w:rsidR="006D15F7" w:rsidRPr="006B2E8B" w:rsidRDefault="006A2E43" w:rsidP="006A2E43">
      <w:pPr>
        <w:pStyle w:val="cnumbered"/>
      </w:pPr>
      <w:r w:rsidRPr="006B2E8B">
        <w:t>1.</w:t>
      </w:r>
      <w:r w:rsidRPr="006B2E8B">
        <w:tab/>
      </w:r>
      <w:r w:rsidR="006D15F7" w:rsidRPr="006B2E8B">
        <w:t xml:space="preserve">Drawing a blood sample through </w:t>
      </w:r>
      <w:proofErr w:type="gramStart"/>
      <w:r w:rsidR="006D15F7" w:rsidRPr="006B2E8B">
        <w:t>venipuncture</w:t>
      </w:r>
      <w:proofErr w:type="gramEnd"/>
      <w:r w:rsidR="006D15F7" w:rsidRPr="006B2E8B">
        <w:t xml:space="preserve"> (i.e., inserting into a vein, a needle with syringe or vacutainer, to draw the specimen) or</w:t>
      </w:r>
    </w:p>
    <w:p w14:paraId="50C8D05A" w14:textId="77777777" w:rsidR="006D15F7" w:rsidRPr="006B2E8B" w:rsidRDefault="006A2E43" w:rsidP="006A2E43">
      <w:pPr>
        <w:pStyle w:val="cnumbered"/>
      </w:pPr>
      <w:r w:rsidRPr="006B2E8B">
        <w:t>2.</w:t>
      </w:r>
      <w:r w:rsidRPr="006B2E8B">
        <w:tab/>
      </w:r>
      <w:r w:rsidR="006D15F7" w:rsidRPr="006B2E8B">
        <w:t>Collecting a urine sample by catheterization.</w:t>
      </w:r>
    </w:p>
    <w:p w14:paraId="42EDFF09" w14:textId="77777777" w:rsidR="006D15F7" w:rsidRPr="006B2E8B" w:rsidRDefault="006A2E43" w:rsidP="006A2E43">
      <w:pPr>
        <w:pStyle w:val="CLETTERED"/>
      </w:pPr>
      <w:r w:rsidRPr="006B2E8B">
        <w:t>B.</w:t>
      </w:r>
      <w:r w:rsidRPr="006B2E8B">
        <w:tab/>
      </w:r>
      <w:r w:rsidR="006D15F7" w:rsidRPr="006B2E8B">
        <w:t>Specimen collection may be covered as a separate service only when the specimen collected is sent to a reference laboratory for tests.</w:t>
      </w:r>
    </w:p>
    <w:p w14:paraId="3F5DDD27" w14:textId="77777777" w:rsidR="006D15F7" w:rsidRPr="006B2E8B" w:rsidRDefault="006A2E43" w:rsidP="006A2E43">
      <w:pPr>
        <w:pStyle w:val="CLETTERED"/>
      </w:pPr>
      <w:r w:rsidRPr="006B2E8B">
        <w:t>C.</w:t>
      </w:r>
      <w:r w:rsidRPr="006B2E8B">
        <w:tab/>
      </w:r>
      <w:r w:rsidR="006D15F7" w:rsidRPr="006B2E8B">
        <w:t>Coverage of specimen collection is included in the coverage of the lab tests when the practitioner, clinic or facility that collects the specimen performs the tests.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161BD3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EF9F5B1" w14:textId="77777777" w:rsidR="006D15F7" w:rsidRPr="006B2E8B" w:rsidRDefault="006D15F7">
            <w:pPr>
              <w:pStyle w:val="chead2"/>
              <w:numPr>
                <w:ilvl w:val="12"/>
                <w:numId w:val="0"/>
              </w:numPr>
              <w:ind w:left="1440" w:hanging="1440"/>
            </w:pPr>
            <w:bookmarkStart w:id="70" w:name="_Toc40064388"/>
            <w:bookmarkStart w:id="71" w:name="_Toc202162620"/>
            <w:r w:rsidRPr="006B2E8B">
              <w:t>214.113</w:t>
            </w:r>
            <w:r w:rsidRPr="006B2E8B">
              <w:tab/>
              <w:t>Vaccines for Children (VFC) Program Immunizations “Incident To” Core Service Encounters</w:t>
            </w:r>
            <w:bookmarkEnd w:id="70"/>
            <w:bookmarkEnd w:id="71"/>
          </w:p>
        </w:tc>
        <w:tc>
          <w:tcPr>
            <w:tcW w:w="1238" w:type="dxa"/>
            <w:tcBorders>
              <w:top w:val="single" w:sz="6" w:space="0" w:color="FFFFFF"/>
              <w:left w:val="single" w:sz="6" w:space="0" w:color="FFFFFF"/>
              <w:bottom w:val="single" w:sz="6" w:space="0" w:color="FFFFFF"/>
              <w:right w:val="single" w:sz="6" w:space="0" w:color="FFFFFF"/>
            </w:tcBorders>
          </w:tcPr>
          <w:p w14:paraId="26533695"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DA4743D" w14:textId="77777777" w:rsidR="006D15F7" w:rsidRPr="006B2E8B" w:rsidRDefault="006D15F7">
      <w:pPr>
        <w:pStyle w:val="ctext"/>
        <w:numPr>
          <w:ilvl w:val="12"/>
          <w:numId w:val="0"/>
        </w:numPr>
        <w:ind w:left="360"/>
      </w:pPr>
      <w:r w:rsidRPr="006B2E8B">
        <w:t xml:space="preserve">Childhood immunizations in the Vaccines for Children (VFC) Program are incident to core service encounters.  FQHCs must report these services by procedure code, separately from the applicable encounter code.  See Sections 251.510, 252.141 and 252.241 for reimbursement methodology as it affects VFC Program immunizations.  See the Arkansas Medicaid Child Health Services provider manual for medical criteria, </w:t>
      </w:r>
      <w:proofErr w:type="gramStart"/>
      <w:r w:rsidRPr="006B2E8B">
        <w:t>coverage</w:t>
      </w:r>
      <w:proofErr w:type="gramEnd"/>
      <w:r w:rsidRPr="006B2E8B">
        <w:t xml:space="preserve"> and billing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2CB1" w:rsidRPr="006B2E8B" w14:paraId="1B76E07A"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290C4E22" w14:textId="77777777" w:rsidR="00392CB1" w:rsidRPr="006B2E8B" w:rsidRDefault="00392CB1" w:rsidP="00392CB1">
            <w:pPr>
              <w:pStyle w:val="chead2"/>
              <w:numPr>
                <w:ilvl w:val="12"/>
                <w:numId w:val="0"/>
              </w:numPr>
              <w:ind w:left="1440" w:hanging="1440"/>
            </w:pPr>
            <w:bookmarkStart w:id="72" w:name="_Toc40064389"/>
            <w:bookmarkStart w:id="73" w:name="_Toc202162621"/>
            <w:r w:rsidRPr="006B2E8B">
              <w:t>214.200</w:t>
            </w:r>
            <w:r w:rsidRPr="006B2E8B">
              <w:tab/>
              <w:t>Definition of an FQHC "Other Ambulatory Services" Encounter</w:t>
            </w:r>
            <w:bookmarkEnd w:id="72"/>
            <w:bookmarkEnd w:id="73"/>
          </w:p>
        </w:tc>
        <w:tc>
          <w:tcPr>
            <w:tcW w:w="1238" w:type="dxa"/>
            <w:tcBorders>
              <w:top w:val="single" w:sz="6" w:space="0" w:color="FFFFFF"/>
              <w:left w:val="single" w:sz="6" w:space="0" w:color="FFFFFF"/>
              <w:bottom w:val="single" w:sz="6" w:space="0" w:color="FFFFFF"/>
              <w:right w:val="single" w:sz="6" w:space="0" w:color="FFFFFF"/>
            </w:tcBorders>
          </w:tcPr>
          <w:p w14:paraId="581E3F7F" w14:textId="77777777" w:rsidR="00392CB1" w:rsidRPr="006B2E8B" w:rsidRDefault="00392CB1" w:rsidP="00392CB1">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A8E6D08" w14:textId="77777777" w:rsidR="00392CB1" w:rsidRPr="006B2E8B" w:rsidRDefault="00392CB1" w:rsidP="005404D5">
      <w:pPr>
        <w:pStyle w:val="ctext"/>
        <w:numPr>
          <w:ilvl w:val="12"/>
          <w:numId w:val="0"/>
        </w:numPr>
        <w:ind w:left="360"/>
      </w:pPr>
      <w:r w:rsidRPr="006B2E8B">
        <w:t xml:space="preserve">An FQHC "other ambulatory services" encounter is a face-to-face contact between a patient of the FQHC and a contractor or employee of the FQHC whose services for the patient are covered by the </w:t>
      </w:r>
      <w:proofErr w:type="gramStart"/>
      <w:r w:rsidRPr="006B2E8B">
        <w:t>particular Medicaid</w:t>
      </w:r>
      <w:proofErr w:type="gramEnd"/>
      <w:r w:rsidRPr="006B2E8B">
        <w:t xml:space="preserve"> program (e.g., Dental or Visual Care) in which the FQHC is enrolled to provide the other ambulatory services.  For example: A physician in an FQHC diagnoses a 22-year-old patient's pregnancy and sends her to the FQHC’s dentist for an oral examination as a precaution against dental problems that may complicate the pregnancy.  Arkansas Medicaid covers medical services in a dentist's office for Medicaid beneficiaries of all ages.  The dentist's office visit is an "other ambulatory services" encounter.  It is not incident to the FQHC core service encounter because it is not itself an FQHC core service.</w:t>
      </w:r>
    </w:p>
    <w:p w14:paraId="04F9950A" w14:textId="77777777" w:rsidR="00392CB1" w:rsidRPr="006B2E8B" w:rsidRDefault="00392CB1" w:rsidP="00392CB1">
      <w:pPr>
        <w:pStyle w:val="ctext"/>
        <w:numPr>
          <w:ilvl w:val="12"/>
          <w:numId w:val="0"/>
        </w:numPr>
        <w:ind w:left="360"/>
      </w:pPr>
      <w:r w:rsidRPr="006B2E8B">
        <w:t xml:space="preserve">See Section 220.300 for information regarding </w:t>
      </w:r>
      <w:proofErr w:type="gramStart"/>
      <w:r w:rsidRPr="006B2E8B">
        <w:t>FQHC</w:t>
      </w:r>
      <w:proofErr w:type="gramEnd"/>
      <w:r w:rsidRPr="006B2E8B">
        <w:t xml:space="preserve"> other ambulatory services encounter benefit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97DD34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5D75EE5" w14:textId="77777777" w:rsidR="006D15F7" w:rsidRPr="006B2E8B" w:rsidRDefault="006D15F7">
            <w:pPr>
              <w:pStyle w:val="chead2"/>
              <w:numPr>
                <w:ilvl w:val="12"/>
                <w:numId w:val="0"/>
              </w:numPr>
              <w:ind w:left="1440" w:hanging="1440"/>
            </w:pPr>
            <w:bookmarkStart w:id="74" w:name="_Toc40064390"/>
            <w:bookmarkStart w:id="75" w:name="_Toc202162622"/>
            <w:r w:rsidRPr="006B2E8B">
              <w:lastRenderedPageBreak/>
              <w:t>215.000</w:t>
            </w:r>
            <w:r w:rsidRPr="006B2E8B">
              <w:tab/>
              <w:t>FQHC Obstetric and Gynecologic Encounters</w:t>
            </w:r>
            <w:bookmarkEnd w:id="74"/>
            <w:bookmarkEnd w:id="75"/>
          </w:p>
        </w:tc>
        <w:tc>
          <w:tcPr>
            <w:tcW w:w="1238" w:type="dxa"/>
            <w:tcBorders>
              <w:top w:val="single" w:sz="6" w:space="0" w:color="FFFFFF"/>
              <w:left w:val="single" w:sz="6" w:space="0" w:color="FFFFFF"/>
              <w:bottom w:val="single" w:sz="6" w:space="0" w:color="FFFFFF"/>
              <w:right w:val="single" w:sz="6" w:space="0" w:color="FFFFFF"/>
            </w:tcBorders>
          </w:tcPr>
          <w:p w14:paraId="6260753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B1E9D16" w14:textId="77777777" w:rsidR="006D15F7" w:rsidRPr="006B2E8B" w:rsidRDefault="006D15F7">
      <w:pPr>
        <w:pStyle w:val="ctext"/>
        <w:numPr>
          <w:ilvl w:val="12"/>
          <w:numId w:val="0"/>
        </w:numPr>
        <w:ind w:left="360"/>
      </w:pPr>
      <w:r w:rsidRPr="006B2E8B">
        <w:t>FQHCs may report five obstetric and gynecologic surgeries by CPT procedure code, instead of by encounter code.  These five obstetric and gynecologic encounters are considered FQHC core service encounters only when establishing an FQHC’s cost per encounter.  See Section 220.000, part A, for benefit limit information regarding the obstetric and gynecologic procedures that FQHCs may report by CPT procedure code.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DAAC3F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07D3679" w14:textId="77777777" w:rsidR="006D15F7" w:rsidRPr="006B2E8B" w:rsidRDefault="006D15F7">
            <w:pPr>
              <w:pStyle w:val="chead2"/>
              <w:numPr>
                <w:ilvl w:val="12"/>
                <w:numId w:val="0"/>
              </w:numPr>
              <w:ind w:left="1440" w:hanging="1440"/>
            </w:pPr>
            <w:bookmarkStart w:id="76" w:name="_Toc40064391"/>
            <w:bookmarkStart w:id="77" w:name="_Toc202162623"/>
            <w:r w:rsidRPr="006B2E8B">
              <w:t>216.000</w:t>
            </w:r>
            <w:r w:rsidRPr="006B2E8B">
              <w:tab/>
              <w:t>Family Planning Encounters and Ancillary Services</w:t>
            </w:r>
            <w:bookmarkEnd w:id="76"/>
            <w:bookmarkEnd w:id="77"/>
          </w:p>
        </w:tc>
        <w:tc>
          <w:tcPr>
            <w:tcW w:w="1238" w:type="dxa"/>
            <w:tcBorders>
              <w:top w:val="single" w:sz="6" w:space="0" w:color="FFFFFF"/>
              <w:left w:val="single" w:sz="6" w:space="0" w:color="FFFFFF"/>
              <w:bottom w:val="single" w:sz="6" w:space="0" w:color="FFFFFF"/>
              <w:right w:val="single" w:sz="6" w:space="0" w:color="FFFFFF"/>
            </w:tcBorders>
          </w:tcPr>
          <w:p w14:paraId="1E9FA5D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B2C8271" w14:textId="77777777" w:rsidR="006D15F7" w:rsidRPr="006B2E8B" w:rsidRDefault="006D15F7">
      <w:pPr>
        <w:pStyle w:val="ctext"/>
        <w:numPr>
          <w:ilvl w:val="12"/>
          <w:numId w:val="0"/>
        </w:numPr>
        <w:ind w:left="360"/>
      </w:pPr>
      <w:r w:rsidRPr="006B2E8B">
        <w:t>States participating in the Medicaid Program are required to cover family planning services.  Arkansas Medicaid covers family planning services in a variety of settings, including FQHCs.</w:t>
      </w:r>
    </w:p>
    <w:p w14:paraId="05950D62" w14:textId="77777777" w:rsidR="006D15F7" w:rsidRPr="006B2E8B" w:rsidRDefault="006A2E43" w:rsidP="006A2E43">
      <w:pPr>
        <w:pStyle w:val="CLETTERED"/>
      </w:pPr>
      <w:r w:rsidRPr="006B2E8B">
        <w:t>A.</w:t>
      </w:r>
      <w:r w:rsidRPr="006B2E8B">
        <w:tab/>
      </w:r>
      <w:r w:rsidR="006D15F7" w:rsidRPr="006B2E8B">
        <w:t>See Sections 216.100 through 216.410 for detailed explanations of family planning coverage in FQHCs.</w:t>
      </w:r>
    </w:p>
    <w:p w14:paraId="422F2465" w14:textId="77777777" w:rsidR="006D15F7" w:rsidRPr="006B2E8B" w:rsidRDefault="006A2E43" w:rsidP="006A2E43">
      <w:pPr>
        <w:pStyle w:val="CLETTERED"/>
      </w:pPr>
      <w:r w:rsidRPr="006B2E8B">
        <w:t>B.</w:t>
      </w:r>
      <w:r w:rsidRPr="006B2E8B">
        <w:tab/>
      </w:r>
      <w:r w:rsidR="006D15F7" w:rsidRPr="006B2E8B">
        <w:t>See Sections 220.100 through 220.150 for family planning benefit limit information (family planning benefit limits are separate from FQHC benefit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19B2E7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5940E96" w14:textId="77777777" w:rsidR="006D15F7" w:rsidRPr="006B2E8B" w:rsidRDefault="006D15F7">
            <w:pPr>
              <w:pStyle w:val="chead2"/>
              <w:numPr>
                <w:ilvl w:val="12"/>
                <w:numId w:val="0"/>
              </w:numPr>
              <w:ind w:left="1440" w:hanging="1440"/>
            </w:pPr>
            <w:bookmarkStart w:id="78" w:name="_Toc40064392"/>
            <w:bookmarkStart w:id="79" w:name="_Toc202162624"/>
            <w:r w:rsidRPr="006B2E8B">
              <w:t>216.100</w:t>
            </w:r>
            <w:r w:rsidRPr="006B2E8B">
              <w:tab/>
              <w:t>Family Planning Visits</w:t>
            </w:r>
            <w:bookmarkEnd w:id="78"/>
            <w:bookmarkEnd w:id="79"/>
          </w:p>
        </w:tc>
        <w:tc>
          <w:tcPr>
            <w:tcW w:w="1238" w:type="dxa"/>
            <w:tcBorders>
              <w:top w:val="single" w:sz="6" w:space="0" w:color="FFFFFF"/>
              <w:left w:val="single" w:sz="6" w:space="0" w:color="FFFFFF"/>
              <w:bottom w:val="single" w:sz="6" w:space="0" w:color="FFFFFF"/>
              <w:right w:val="single" w:sz="6" w:space="0" w:color="FFFFFF"/>
            </w:tcBorders>
          </w:tcPr>
          <w:p w14:paraId="3C004671" w14:textId="77777777" w:rsidR="006D15F7" w:rsidRPr="006B2E8B" w:rsidRDefault="006D15F7">
            <w:pPr>
              <w:pStyle w:val="cDate2"/>
              <w:numPr>
                <w:ilvl w:val="12"/>
                <w:numId w:val="0"/>
              </w:numPr>
            </w:pPr>
          </w:p>
        </w:tc>
      </w:tr>
      <w:tr w:rsidR="006D15F7" w:rsidRPr="006B2E8B" w14:paraId="4DA6171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953A8FB" w14:textId="77777777" w:rsidR="006D15F7" w:rsidRPr="006B2E8B" w:rsidRDefault="006D15F7">
            <w:pPr>
              <w:pStyle w:val="chead2"/>
              <w:numPr>
                <w:ilvl w:val="12"/>
                <w:numId w:val="0"/>
              </w:numPr>
              <w:ind w:left="1440" w:hanging="1440"/>
            </w:pPr>
            <w:bookmarkStart w:id="80" w:name="_Toc40064393"/>
            <w:bookmarkStart w:id="81" w:name="_Toc202162625"/>
            <w:r w:rsidRPr="006B2E8B">
              <w:t>216.110</w:t>
            </w:r>
            <w:r w:rsidRPr="006B2E8B">
              <w:tab/>
              <w:t>Basic Family Planning Visit</w:t>
            </w:r>
            <w:bookmarkEnd w:id="80"/>
            <w:bookmarkEnd w:id="81"/>
          </w:p>
        </w:tc>
        <w:tc>
          <w:tcPr>
            <w:tcW w:w="1238" w:type="dxa"/>
            <w:tcBorders>
              <w:top w:val="single" w:sz="6" w:space="0" w:color="FFFFFF"/>
              <w:left w:val="single" w:sz="6" w:space="0" w:color="FFFFFF"/>
              <w:bottom w:val="single" w:sz="6" w:space="0" w:color="FFFFFF"/>
              <w:right w:val="single" w:sz="6" w:space="0" w:color="FFFFFF"/>
            </w:tcBorders>
          </w:tcPr>
          <w:p w14:paraId="4986A649"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7D0754A" w14:textId="77777777" w:rsidR="006D15F7" w:rsidRPr="006B2E8B" w:rsidRDefault="006D15F7">
      <w:pPr>
        <w:pStyle w:val="ctext"/>
        <w:numPr>
          <w:ilvl w:val="12"/>
          <w:numId w:val="0"/>
        </w:numPr>
        <w:ind w:left="360"/>
      </w:pPr>
      <w:r w:rsidRPr="006B2E8B">
        <w:t>The basic family planning visit comprises:</w:t>
      </w:r>
    </w:p>
    <w:p w14:paraId="133090F8" w14:textId="77777777" w:rsidR="006D15F7" w:rsidRPr="006B2E8B" w:rsidRDefault="00463888" w:rsidP="00463888">
      <w:pPr>
        <w:pStyle w:val="CLETTERED"/>
      </w:pPr>
      <w:r w:rsidRPr="006B2E8B">
        <w:t>A.</w:t>
      </w:r>
      <w:r w:rsidRPr="006B2E8B">
        <w:tab/>
      </w:r>
      <w:r w:rsidR="006D15F7" w:rsidRPr="006B2E8B">
        <w:t xml:space="preserve">Medical history and medical examination, including head, neck, breast, chest, pelvis, abdomen, extremities, </w:t>
      </w:r>
      <w:proofErr w:type="gramStart"/>
      <w:r w:rsidR="006D15F7" w:rsidRPr="006B2E8B">
        <w:t>weight</w:t>
      </w:r>
      <w:proofErr w:type="gramEnd"/>
      <w:r w:rsidR="006D15F7" w:rsidRPr="006B2E8B">
        <w:t xml:space="preserve"> and blood pressure.</w:t>
      </w:r>
    </w:p>
    <w:p w14:paraId="493641F3" w14:textId="77777777" w:rsidR="006D15F7" w:rsidRPr="006B2E8B" w:rsidRDefault="00463888" w:rsidP="00463888">
      <w:pPr>
        <w:pStyle w:val="CLETTERED"/>
      </w:pPr>
      <w:r w:rsidRPr="006B2E8B">
        <w:t>B.</w:t>
      </w:r>
      <w:r w:rsidRPr="006B2E8B">
        <w:tab/>
      </w:r>
      <w:r w:rsidR="006D15F7" w:rsidRPr="006B2E8B">
        <w:t>Counseling and education regarding:</w:t>
      </w:r>
    </w:p>
    <w:p w14:paraId="418CE889" w14:textId="77777777" w:rsidR="006D15F7" w:rsidRPr="006B2E8B" w:rsidRDefault="00463888" w:rsidP="00463888">
      <w:pPr>
        <w:pStyle w:val="cnumbered"/>
      </w:pPr>
      <w:r w:rsidRPr="006B2E8B">
        <w:t>1.</w:t>
      </w:r>
      <w:r w:rsidRPr="006B2E8B">
        <w:tab/>
      </w:r>
      <w:r w:rsidR="006D15F7" w:rsidRPr="006B2E8B">
        <w:t>Breast self-exam,</w:t>
      </w:r>
    </w:p>
    <w:p w14:paraId="55C1A0C4" w14:textId="77777777" w:rsidR="006D15F7" w:rsidRPr="006B2E8B" w:rsidRDefault="00463888" w:rsidP="00463888">
      <w:pPr>
        <w:pStyle w:val="cnumbered"/>
      </w:pPr>
      <w:r w:rsidRPr="006B2E8B">
        <w:t>2.</w:t>
      </w:r>
      <w:r w:rsidRPr="006B2E8B">
        <w:tab/>
      </w:r>
      <w:r w:rsidR="006D15F7" w:rsidRPr="006B2E8B">
        <w:t>The full range of contraceptive methods available and</w:t>
      </w:r>
    </w:p>
    <w:p w14:paraId="0041669C" w14:textId="77777777" w:rsidR="006D15F7" w:rsidRPr="006B2E8B" w:rsidRDefault="00463888" w:rsidP="00463888">
      <w:pPr>
        <w:pStyle w:val="cnumbered"/>
      </w:pPr>
      <w:r w:rsidRPr="006B2E8B">
        <w:t>3.</w:t>
      </w:r>
      <w:r w:rsidRPr="006B2E8B">
        <w:tab/>
      </w:r>
      <w:r w:rsidR="006D15F7" w:rsidRPr="006B2E8B">
        <w:t>HIV/STD prevention.</w:t>
      </w:r>
    </w:p>
    <w:p w14:paraId="680A1542" w14:textId="77777777" w:rsidR="006D15F7" w:rsidRPr="006B2E8B" w:rsidRDefault="00463888" w:rsidP="00463888">
      <w:pPr>
        <w:pStyle w:val="CLETTERED"/>
      </w:pPr>
      <w:r w:rsidRPr="006B2E8B">
        <w:t>C.</w:t>
      </w:r>
      <w:r w:rsidRPr="006B2E8B">
        <w:tab/>
      </w:r>
      <w:r w:rsidR="006D15F7" w:rsidRPr="006B2E8B">
        <w:t>Prescription for any contraceptives selected by the patient.</w:t>
      </w:r>
    </w:p>
    <w:p w14:paraId="65DE73B8" w14:textId="77777777" w:rsidR="006D15F7" w:rsidRPr="006B2E8B" w:rsidRDefault="00463888" w:rsidP="00463888">
      <w:pPr>
        <w:pStyle w:val="CLETTERED"/>
      </w:pPr>
      <w:r w:rsidRPr="006B2E8B">
        <w:t>D.</w:t>
      </w:r>
      <w:r w:rsidRPr="006B2E8B">
        <w:tab/>
      </w:r>
      <w:r w:rsidR="006D15F7" w:rsidRPr="006B2E8B">
        <w:t>Laboratory services, including, as necessary:</w:t>
      </w:r>
    </w:p>
    <w:p w14:paraId="220A53E7" w14:textId="77777777" w:rsidR="006D15F7" w:rsidRPr="006B2E8B" w:rsidRDefault="00463888" w:rsidP="00463888">
      <w:pPr>
        <w:pStyle w:val="cnumbered"/>
      </w:pPr>
      <w:r w:rsidRPr="006B2E8B">
        <w:t>1.</w:t>
      </w:r>
      <w:r w:rsidRPr="006B2E8B">
        <w:tab/>
      </w:r>
      <w:r w:rsidR="006D15F7" w:rsidRPr="006B2E8B">
        <w:t>Pregnancy test,</w:t>
      </w:r>
    </w:p>
    <w:p w14:paraId="01419AA4" w14:textId="77777777" w:rsidR="006D15F7" w:rsidRPr="006B2E8B" w:rsidRDefault="00463888" w:rsidP="00463888">
      <w:pPr>
        <w:pStyle w:val="cnumbered"/>
      </w:pPr>
      <w:r w:rsidRPr="006B2E8B">
        <w:t>2.</w:t>
      </w:r>
      <w:r w:rsidRPr="006B2E8B">
        <w:tab/>
      </w:r>
      <w:r w:rsidR="006D15F7" w:rsidRPr="006B2E8B">
        <w:t>Urinalysis testing for albumin and glucose,</w:t>
      </w:r>
    </w:p>
    <w:p w14:paraId="4CD63143" w14:textId="77777777" w:rsidR="006D15F7" w:rsidRPr="006B2E8B" w:rsidRDefault="00463888" w:rsidP="00463888">
      <w:pPr>
        <w:pStyle w:val="cnumbered"/>
      </w:pPr>
      <w:r w:rsidRPr="006B2E8B">
        <w:t>3.</w:t>
      </w:r>
      <w:r w:rsidRPr="006B2E8B">
        <w:tab/>
      </w:r>
      <w:r w:rsidR="006D15F7" w:rsidRPr="006B2E8B">
        <w:t>Hemoglobin and Hematocrit,</w:t>
      </w:r>
    </w:p>
    <w:p w14:paraId="502CAD35" w14:textId="77777777" w:rsidR="006D15F7" w:rsidRPr="006B2E8B" w:rsidRDefault="00463888" w:rsidP="00463888">
      <w:pPr>
        <w:pStyle w:val="cnumbered"/>
      </w:pPr>
      <w:r w:rsidRPr="006B2E8B">
        <w:t>4.</w:t>
      </w:r>
      <w:r w:rsidRPr="006B2E8B">
        <w:tab/>
      </w:r>
      <w:r w:rsidR="006D15F7" w:rsidRPr="006B2E8B">
        <w:t>Papanicolaou smear for cervical cancer,</w:t>
      </w:r>
    </w:p>
    <w:p w14:paraId="5CFDB5B3" w14:textId="77777777" w:rsidR="006D15F7" w:rsidRPr="006B2E8B" w:rsidRDefault="00463888" w:rsidP="00463888">
      <w:pPr>
        <w:pStyle w:val="cnumbered"/>
      </w:pPr>
      <w:r w:rsidRPr="006B2E8B">
        <w:t>5.</w:t>
      </w:r>
      <w:r w:rsidRPr="006B2E8B">
        <w:tab/>
      </w:r>
      <w:r w:rsidR="006D15F7" w:rsidRPr="006B2E8B">
        <w:t>Sickle cell screening and</w:t>
      </w:r>
    </w:p>
    <w:p w14:paraId="0C308001" w14:textId="77777777" w:rsidR="006D15F7" w:rsidRPr="006B2E8B" w:rsidRDefault="00463888" w:rsidP="00463888">
      <w:pPr>
        <w:pStyle w:val="cnumbered"/>
      </w:pPr>
      <w:r w:rsidRPr="006B2E8B">
        <w:t>6.</w:t>
      </w:r>
      <w:r w:rsidRPr="006B2E8B">
        <w:tab/>
      </w:r>
      <w:r w:rsidR="006D15F7" w:rsidRPr="006B2E8B">
        <w:t>Testing for sexually transmitted diseases.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D12A20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BAB5006" w14:textId="77777777" w:rsidR="006D15F7" w:rsidRPr="006B2E8B" w:rsidRDefault="006D15F7">
            <w:pPr>
              <w:pStyle w:val="chead2"/>
              <w:numPr>
                <w:ilvl w:val="12"/>
                <w:numId w:val="0"/>
              </w:numPr>
              <w:ind w:left="1440" w:hanging="1440"/>
            </w:pPr>
            <w:bookmarkStart w:id="82" w:name="_Toc40064394"/>
            <w:bookmarkStart w:id="83" w:name="_Toc202162626"/>
            <w:r w:rsidRPr="006B2E8B">
              <w:t>216.120</w:t>
            </w:r>
            <w:r w:rsidRPr="006B2E8B">
              <w:tab/>
              <w:t>Periodic Family Planning Visit</w:t>
            </w:r>
            <w:bookmarkEnd w:id="82"/>
            <w:bookmarkEnd w:id="83"/>
          </w:p>
        </w:tc>
        <w:tc>
          <w:tcPr>
            <w:tcW w:w="1238" w:type="dxa"/>
            <w:tcBorders>
              <w:top w:val="single" w:sz="6" w:space="0" w:color="FFFFFF"/>
              <w:left w:val="single" w:sz="6" w:space="0" w:color="FFFFFF"/>
              <w:bottom w:val="single" w:sz="6" w:space="0" w:color="FFFFFF"/>
              <w:right w:val="single" w:sz="6" w:space="0" w:color="FFFFFF"/>
            </w:tcBorders>
          </w:tcPr>
          <w:p w14:paraId="3629CFB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EDDEA3D" w14:textId="77777777" w:rsidR="006D15F7" w:rsidRPr="006B2E8B" w:rsidRDefault="006D15F7">
      <w:pPr>
        <w:pStyle w:val="ctext"/>
        <w:numPr>
          <w:ilvl w:val="12"/>
          <w:numId w:val="0"/>
        </w:numPr>
        <w:ind w:left="360"/>
      </w:pPr>
      <w:r w:rsidRPr="006B2E8B">
        <w:t>The periodic family planning visit comprises:</w:t>
      </w:r>
    </w:p>
    <w:p w14:paraId="326FF2F6" w14:textId="77777777" w:rsidR="006D15F7" w:rsidRPr="006B2E8B" w:rsidRDefault="00463888" w:rsidP="00463888">
      <w:pPr>
        <w:pStyle w:val="CLETTERED"/>
      </w:pPr>
      <w:r w:rsidRPr="006B2E8B">
        <w:t>A.</w:t>
      </w:r>
      <w:r w:rsidRPr="006B2E8B">
        <w:tab/>
      </w:r>
      <w:r w:rsidR="006D15F7" w:rsidRPr="006B2E8B">
        <w:t xml:space="preserve">Follow-up medical history, </w:t>
      </w:r>
      <w:proofErr w:type="gramStart"/>
      <w:r w:rsidR="006D15F7" w:rsidRPr="006B2E8B">
        <w:t>weight</w:t>
      </w:r>
      <w:proofErr w:type="gramEnd"/>
      <w:r w:rsidR="006D15F7" w:rsidRPr="006B2E8B">
        <w:t xml:space="preserve"> and blood pressure,</w:t>
      </w:r>
    </w:p>
    <w:p w14:paraId="0BC8A82E" w14:textId="77777777" w:rsidR="006D15F7" w:rsidRPr="006B2E8B" w:rsidRDefault="00463888" w:rsidP="00463888">
      <w:pPr>
        <w:pStyle w:val="CLETTERED"/>
      </w:pPr>
      <w:r w:rsidRPr="006B2E8B">
        <w:t>B.</w:t>
      </w:r>
      <w:r w:rsidRPr="006B2E8B">
        <w:tab/>
      </w:r>
      <w:r w:rsidR="006D15F7" w:rsidRPr="006B2E8B">
        <w:t>Counseling regarding contraceptives and possible complications of contraceptives,</w:t>
      </w:r>
    </w:p>
    <w:p w14:paraId="2BE893E6" w14:textId="77777777" w:rsidR="006D15F7" w:rsidRPr="006B2E8B" w:rsidRDefault="00463888" w:rsidP="00463888">
      <w:pPr>
        <w:pStyle w:val="CLETTERED"/>
      </w:pPr>
      <w:r w:rsidRPr="006B2E8B">
        <w:t>C.</w:t>
      </w:r>
      <w:r w:rsidRPr="006B2E8B">
        <w:tab/>
      </w:r>
      <w:r w:rsidR="006D15F7" w:rsidRPr="006B2E8B">
        <w:t>Evaluating the patient's contraceptive program,</w:t>
      </w:r>
    </w:p>
    <w:p w14:paraId="147EB852" w14:textId="77777777" w:rsidR="006D15F7" w:rsidRPr="006B2E8B" w:rsidRDefault="00463888" w:rsidP="00463888">
      <w:pPr>
        <w:pStyle w:val="CLETTERED"/>
      </w:pPr>
      <w:r w:rsidRPr="006B2E8B">
        <w:t>D.</w:t>
      </w:r>
      <w:r w:rsidRPr="006B2E8B">
        <w:tab/>
      </w:r>
      <w:r w:rsidR="006D15F7" w:rsidRPr="006B2E8B">
        <w:t>Renewing or changing the contraceptive prescription and</w:t>
      </w:r>
    </w:p>
    <w:p w14:paraId="5C71EC7E" w14:textId="77777777" w:rsidR="006D15F7" w:rsidRPr="006B2E8B" w:rsidRDefault="00463888" w:rsidP="00463888">
      <w:pPr>
        <w:pStyle w:val="CLETTERED"/>
      </w:pPr>
      <w:r w:rsidRPr="006B2E8B">
        <w:lastRenderedPageBreak/>
        <w:t>E.</w:t>
      </w:r>
      <w:r w:rsidRPr="006B2E8B">
        <w:tab/>
      </w:r>
      <w:r w:rsidR="006D15F7" w:rsidRPr="006B2E8B">
        <w:t>Providing the patient with additional opportunities for counseling regarding reproductive health and family planning.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878A4C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98A7B49" w14:textId="77777777" w:rsidR="006D15F7" w:rsidRPr="006B2E8B" w:rsidRDefault="006D15F7">
            <w:pPr>
              <w:pStyle w:val="chead2"/>
              <w:numPr>
                <w:ilvl w:val="12"/>
                <w:numId w:val="0"/>
              </w:numPr>
              <w:ind w:left="1440" w:hanging="1440"/>
            </w:pPr>
            <w:bookmarkStart w:id="84" w:name="_Toc40064395"/>
            <w:bookmarkStart w:id="85" w:name="_Toc202162627"/>
            <w:r w:rsidRPr="006B2E8B">
              <w:t>216.130</w:t>
            </w:r>
            <w:r w:rsidRPr="006B2E8B">
              <w:tab/>
              <w:t>Post-Sterilization Visit</w:t>
            </w:r>
            <w:bookmarkEnd w:id="84"/>
            <w:bookmarkEnd w:id="85"/>
          </w:p>
        </w:tc>
        <w:tc>
          <w:tcPr>
            <w:tcW w:w="1238" w:type="dxa"/>
            <w:tcBorders>
              <w:top w:val="single" w:sz="6" w:space="0" w:color="FFFFFF"/>
              <w:left w:val="single" w:sz="6" w:space="0" w:color="FFFFFF"/>
              <w:bottom w:val="single" w:sz="6" w:space="0" w:color="FFFFFF"/>
              <w:right w:val="single" w:sz="6" w:space="0" w:color="FFFFFF"/>
            </w:tcBorders>
          </w:tcPr>
          <w:p w14:paraId="70A86D5E" w14:textId="77777777" w:rsidR="006D15F7" w:rsidRPr="006B2E8B" w:rsidRDefault="006D15F7" w:rsidP="000C47AA">
            <w:pPr>
              <w:pStyle w:val="cDate2"/>
              <w:numPr>
                <w:ilvl w:val="12"/>
                <w:numId w:val="0"/>
              </w:numPr>
            </w:pPr>
            <w:r w:rsidRPr="006B2E8B">
              <w:t>1</w:t>
            </w:r>
            <w:r w:rsidR="000C47AA" w:rsidRPr="006B2E8B">
              <w:t>2</w:t>
            </w:r>
            <w:r w:rsidRPr="006B2E8B">
              <w:t>-1</w:t>
            </w:r>
            <w:r w:rsidR="000C47AA" w:rsidRPr="006B2E8B">
              <w:t>8</w:t>
            </w:r>
            <w:r w:rsidRPr="006B2E8B">
              <w:t>-</w:t>
            </w:r>
            <w:r w:rsidR="000C47AA" w:rsidRPr="006B2E8B">
              <w:t>15</w:t>
            </w:r>
          </w:p>
        </w:tc>
      </w:tr>
    </w:tbl>
    <w:p w14:paraId="175693C1" w14:textId="77777777" w:rsidR="000C47AA" w:rsidRPr="006B2E8B" w:rsidRDefault="000C47AA" w:rsidP="000C47AA">
      <w:pPr>
        <w:pStyle w:val="ctext"/>
      </w:pPr>
      <w:r w:rsidRPr="006B2E8B">
        <w:t>Annual post-sterilization visits by an FQHC are covered as FQHC encounters for other Medicaid-eligible women with available benefits.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1AAAEA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F6F19B1" w14:textId="77777777" w:rsidR="006D15F7" w:rsidRPr="006B2E8B" w:rsidRDefault="006D15F7">
            <w:pPr>
              <w:pStyle w:val="chead2"/>
              <w:numPr>
                <w:ilvl w:val="12"/>
                <w:numId w:val="0"/>
              </w:numPr>
              <w:ind w:left="1440" w:hanging="1440"/>
            </w:pPr>
            <w:bookmarkStart w:id="86" w:name="_Toc40064396"/>
            <w:bookmarkStart w:id="87" w:name="_Toc202162628"/>
            <w:r w:rsidRPr="006B2E8B">
              <w:t>216.200</w:t>
            </w:r>
            <w:r w:rsidRPr="006B2E8B">
              <w:tab/>
              <w:t>Contraceptive Devices</w:t>
            </w:r>
            <w:bookmarkEnd w:id="86"/>
            <w:bookmarkEnd w:id="87"/>
          </w:p>
        </w:tc>
        <w:tc>
          <w:tcPr>
            <w:tcW w:w="1238" w:type="dxa"/>
            <w:tcBorders>
              <w:top w:val="single" w:sz="6" w:space="0" w:color="FFFFFF"/>
              <w:left w:val="single" w:sz="6" w:space="0" w:color="FFFFFF"/>
              <w:bottom w:val="single" w:sz="6" w:space="0" w:color="FFFFFF"/>
              <w:right w:val="single" w:sz="6" w:space="0" w:color="FFFFFF"/>
            </w:tcBorders>
          </w:tcPr>
          <w:p w14:paraId="14399F8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BFA1821" w14:textId="77777777" w:rsidR="006D15F7" w:rsidRPr="006B2E8B" w:rsidRDefault="006D15F7">
      <w:pPr>
        <w:pStyle w:val="ctext"/>
        <w:numPr>
          <w:ilvl w:val="12"/>
          <w:numId w:val="0"/>
        </w:numPr>
        <w:ind w:left="360"/>
      </w:pPr>
      <w:r w:rsidRPr="006B2E8B">
        <w:t>Medicaid covers intrauterine devices (IUDs) and their insertion and removal and implantable contraceptive capsules (such as Norplant) and their insertion and removal.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736B81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47C61F7" w14:textId="77777777" w:rsidR="006D15F7" w:rsidRPr="006B2E8B" w:rsidRDefault="006D15F7">
            <w:pPr>
              <w:pStyle w:val="chead2"/>
              <w:numPr>
                <w:ilvl w:val="12"/>
                <w:numId w:val="0"/>
              </w:numPr>
              <w:ind w:left="1440" w:hanging="1440"/>
            </w:pPr>
            <w:bookmarkStart w:id="88" w:name="_Toc40064397"/>
            <w:bookmarkStart w:id="89" w:name="_Toc202162629"/>
            <w:r w:rsidRPr="006B2E8B">
              <w:t>216.300</w:t>
            </w:r>
            <w:r w:rsidRPr="006B2E8B">
              <w:tab/>
              <w:t>Other Contraceptives and Supplies</w:t>
            </w:r>
            <w:bookmarkEnd w:id="88"/>
            <w:bookmarkEnd w:id="89"/>
          </w:p>
        </w:tc>
        <w:tc>
          <w:tcPr>
            <w:tcW w:w="1238" w:type="dxa"/>
            <w:tcBorders>
              <w:top w:val="single" w:sz="6" w:space="0" w:color="FFFFFF"/>
              <w:left w:val="single" w:sz="6" w:space="0" w:color="FFFFFF"/>
              <w:bottom w:val="single" w:sz="6" w:space="0" w:color="FFFFFF"/>
              <w:right w:val="single" w:sz="6" w:space="0" w:color="FFFFFF"/>
            </w:tcBorders>
          </w:tcPr>
          <w:p w14:paraId="02C6FF24"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9405E45" w14:textId="77777777" w:rsidR="006D15F7" w:rsidRPr="006B2E8B" w:rsidRDefault="006D15F7">
      <w:pPr>
        <w:pStyle w:val="ctext"/>
        <w:numPr>
          <w:ilvl w:val="12"/>
          <w:numId w:val="0"/>
        </w:numPr>
        <w:ind w:left="360"/>
      </w:pPr>
      <w:r w:rsidRPr="006B2E8B">
        <w:t>Medicaid covers other contraceptives and supplies (over-the counter as well as by-prescription-only, such as birth control pills) when they are prescribed.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C74DD5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56D8074" w14:textId="77777777" w:rsidR="006D15F7" w:rsidRPr="006B2E8B" w:rsidRDefault="006D15F7">
            <w:pPr>
              <w:pStyle w:val="chead2"/>
              <w:numPr>
                <w:ilvl w:val="12"/>
                <w:numId w:val="0"/>
              </w:numPr>
              <w:ind w:left="1440" w:hanging="1440"/>
            </w:pPr>
            <w:bookmarkStart w:id="90" w:name="_Toc40064398"/>
            <w:bookmarkStart w:id="91" w:name="_Toc202162630"/>
            <w:r w:rsidRPr="006B2E8B">
              <w:t>216.310</w:t>
            </w:r>
            <w:r w:rsidRPr="006B2E8B">
              <w:tab/>
              <w:t>Depo-Provera Injections</w:t>
            </w:r>
            <w:bookmarkEnd w:id="90"/>
            <w:bookmarkEnd w:id="91"/>
          </w:p>
        </w:tc>
        <w:tc>
          <w:tcPr>
            <w:tcW w:w="1238" w:type="dxa"/>
            <w:tcBorders>
              <w:top w:val="single" w:sz="6" w:space="0" w:color="FFFFFF"/>
              <w:left w:val="single" w:sz="6" w:space="0" w:color="FFFFFF"/>
              <w:bottom w:val="single" w:sz="6" w:space="0" w:color="FFFFFF"/>
              <w:right w:val="single" w:sz="6" w:space="0" w:color="FFFFFF"/>
            </w:tcBorders>
          </w:tcPr>
          <w:p w14:paraId="44E5BC4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A5C1B82" w14:textId="77777777" w:rsidR="006D15F7" w:rsidRPr="006B2E8B" w:rsidRDefault="006D15F7">
      <w:pPr>
        <w:pStyle w:val="ctext"/>
      </w:pPr>
      <w:r w:rsidRPr="006B2E8B">
        <w:t>Medroxyprogesterone acetate (Depo-Provera) for contraception, 150 mg by injection, is covered for Medicaid-eligible women as a service incident to the family planning encounter (visit).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2CB1" w:rsidRPr="006B2E8B" w14:paraId="7D4A5C00"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6A984050" w14:textId="77777777" w:rsidR="00392CB1" w:rsidRPr="006B2E8B" w:rsidRDefault="00392CB1" w:rsidP="00392CB1">
            <w:pPr>
              <w:pStyle w:val="chead2"/>
              <w:numPr>
                <w:ilvl w:val="12"/>
                <w:numId w:val="0"/>
              </w:numPr>
              <w:ind w:left="1440" w:hanging="1440"/>
            </w:pPr>
            <w:bookmarkStart w:id="92" w:name="_Toc202162631"/>
            <w:r w:rsidRPr="006B2E8B">
              <w:t>216.400</w:t>
            </w:r>
            <w:r w:rsidRPr="006B2E8B">
              <w:tab/>
              <w:t>Sterilizations</w:t>
            </w:r>
            <w:bookmarkEnd w:id="92"/>
          </w:p>
        </w:tc>
        <w:tc>
          <w:tcPr>
            <w:tcW w:w="1238" w:type="dxa"/>
            <w:tcBorders>
              <w:top w:val="single" w:sz="6" w:space="0" w:color="FFFFFF"/>
              <w:left w:val="single" w:sz="6" w:space="0" w:color="FFFFFF"/>
              <w:bottom w:val="single" w:sz="6" w:space="0" w:color="FFFFFF"/>
              <w:right w:val="single" w:sz="6" w:space="0" w:color="FFFFFF"/>
            </w:tcBorders>
          </w:tcPr>
          <w:p w14:paraId="6DE82117" w14:textId="77777777" w:rsidR="00392CB1" w:rsidRPr="006B2E8B" w:rsidRDefault="00392CB1" w:rsidP="00392CB1">
            <w:pPr>
              <w:pStyle w:val="cDate2"/>
              <w:numPr>
                <w:ilvl w:val="12"/>
                <w:numId w:val="0"/>
              </w:numPr>
            </w:pPr>
            <w:r w:rsidRPr="006B2E8B">
              <w:t>12-18-15</w:t>
            </w:r>
          </w:p>
        </w:tc>
      </w:tr>
    </w:tbl>
    <w:p w14:paraId="28B85487" w14:textId="77777777" w:rsidR="00392CB1" w:rsidRPr="006B2E8B" w:rsidRDefault="00392CB1" w:rsidP="005404D5">
      <w:pPr>
        <w:pStyle w:val="CLETTERED"/>
      </w:pPr>
      <w:r w:rsidRPr="006B2E8B">
        <w:t>A.</w:t>
      </w:r>
      <w:r w:rsidRPr="006B2E8B">
        <w:tab/>
        <w:t>Medicaid covers sterilization of men and women.</w:t>
      </w:r>
    </w:p>
    <w:p w14:paraId="428F8181" w14:textId="77777777" w:rsidR="00392CB1" w:rsidRPr="006B2E8B" w:rsidRDefault="00392CB1" w:rsidP="005404D5">
      <w:pPr>
        <w:pStyle w:val="cnumbered"/>
      </w:pPr>
      <w:r w:rsidRPr="006B2E8B">
        <w:t>1.</w:t>
      </w:r>
      <w:r w:rsidRPr="006B2E8B">
        <w:tab/>
        <w:t>All adult (age 21 or older) male and female Medicaid beneficiaries who are mentally competent are eligible for sterilization procedures and medically necessary follow-ups as long as they remain Medicaid-eligible.</w:t>
      </w:r>
    </w:p>
    <w:p w14:paraId="16681020" w14:textId="77777777" w:rsidR="00392CB1" w:rsidRPr="006B2E8B" w:rsidRDefault="00392CB1" w:rsidP="005404D5">
      <w:pPr>
        <w:pStyle w:val="CLETTERED"/>
      </w:pPr>
      <w:r w:rsidRPr="006B2E8B">
        <w:t>B.</w:t>
      </w:r>
      <w:r w:rsidRPr="006B2E8B">
        <w:tab/>
        <w:t>Medicaid coverage of sterilizations is contingent upon the provider's documented compliance with federal and state regulations, including obtaining the patient's signed consent in a manner prescribed by law.</w:t>
      </w:r>
    </w:p>
    <w:p w14:paraId="313F626F" w14:textId="77777777" w:rsidR="00392CB1" w:rsidRPr="006B2E8B" w:rsidRDefault="00392CB1" w:rsidP="005404D5">
      <w:pPr>
        <w:pStyle w:val="CLETTERED"/>
      </w:pPr>
      <w:r w:rsidRPr="006B2E8B">
        <w:t>C.</w:t>
      </w:r>
      <w:r w:rsidRPr="006B2E8B">
        <w:tab/>
        <w:t>Non-therapeutic sterilization means any procedure or operation for which the primary purpose is to render an individual permanently incapable of reproducing.</w:t>
      </w:r>
    </w:p>
    <w:p w14:paraId="67B008C0" w14:textId="77777777" w:rsidR="00392CB1" w:rsidRPr="006B2E8B" w:rsidRDefault="00392CB1" w:rsidP="005404D5">
      <w:pPr>
        <w:pStyle w:val="cnumbered"/>
      </w:pPr>
      <w:r w:rsidRPr="006B2E8B">
        <w:t>1.</w:t>
      </w:r>
      <w:r w:rsidRPr="006B2E8B">
        <w:tab/>
        <w:t>Non-therapeutic sterilization is neither:</w:t>
      </w:r>
    </w:p>
    <w:p w14:paraId="674C9214" w14:textId="77777777" w:rsidR="00392CB1" w:rsidRPr="006B2E8B" w:rsidRDefault="00392CB1" w:rsidP="005404D5">
      <w:pPr>
        <w:pStyle w:val="cletteredindent"/>
      </w:pPr>
      <w:r w:rsidRPr="006B2E8B">
        <w:t>a.</w:t>
      </w:r>
      <w:r w:rsidRPr="006B2E8B">
        <w:tab/>
        <w:t>A necessary part of the treatment of an existing illness or injury nor</w:t>
      </w:r>
    </w:p>
    <w:p w14:paraId="7F8CEB6B" w14:textId="77777777" w:rsidR="00392CB1" w:rsidRPr="006B2E8B" w:rsidRDefault="00392CB1" w:rsidP="005404D5">
      <w:pPr>
        <w:pStyle w:val="cletteredindent"/>
      </w:pPr>
      <w:r w:rsidRPr="006B2E8B">
        <w:t>b.</w:t>
      </w:r>
      <w:r w:rsidRPr="006B2E8B">
        <w:tab/>
        <w:t>Medically indicated as an accompaniment of an operation of the genitourinary tract.</w:t>
      </w:r>
    </w:p>
    <w:p w14:paraId="5C306620" w14:textId="77777777" w:rsidR="00392CB1" w:rsidRPr="006B2E8B" w:rsidRDefault="00392CB1" w:rsidP="005404D5">
      <w:pPr>
        <w:pStyle w:val="cnumbered"/>
      </w:pPr>
      <w:r w:rsidRPr="006B2E8B">
        <w:t>2.</w:t>
      </w:r>
      <w:r w:rsidRPr="006B2E8B">
        <w:tab/>
        <w:t xml:space="preserve">The reason the individual decides to take permanent and irreversible action is irrelevant.  It may be for social, </w:t>
      </w:r>
      <w:proofErr w:type="gramStart"/>
      <w:r w:rsidRPr="006B2E8B">
        <w:t>economic</w:t>
      </w:r>
      <w:proofErr w:type="gramEnd"/>
      <w:r w:rsidRPr="006B2E8B">
        <w:t xml:space="preserve"> or psychological reasons or because a pregnancy would be inadvisable for medical reasons.</w:t>
      </w:r>
    </w:p>
    <w:p w14:paraId="47CAB603" w14:textId="77777777" w:rsidR="00392CB1" w:rsidRPr="006B2E8B" w:rsidRDefault="00392CB1" w:rsidP="005404D5">
      <w:pPr>
        <w:pStyle w:val="CLETTERED"/>
      </w:pPr>
      <w:r w:rsidRPr="006B2E8B">
        <w:t>D.</w:t>
      </w:r>
      <w:r w:rsidRPr="006B2E8B">
        <w:tab/>
        <w:t>Prior authorization is not required for a sterilization procedure.  However, all applicable criteria described in this manual must be met.</w:t>
      </w:r>
    </w:p>
    <w:p w14:paraId="46B56981" w14:textId="77777777" w:rsidR="00392CB1" w:rsidRPr="006B2E8B" w:rsidRDefault="00392CB1" w:rsidP="005404D5">
      <w:pPr>
        <w:pStyle w:val="CLETTERED"/>
      </w:pPr>
      <w:r w:rsidRPr="006B2E8B">
        <w:t>E.</w:t>
      </w:r>
      <w:r w:rsidRPr="006B2E8B">
        <w:tab/>
        <w:t>Federal regulations are very explicit concerning coverage of non-therapeutic sterilization.  Therefore, all the following conditions must be met:</w:t>
      </w:r>
    </w:p>
    <w:p w14:paraId="389D6097" w14:textId="77777777" w:rsidR="00392CB1" w:rsidRPr="006B2E8B" w:rsidRDefault="00392CB1" w:rsidP="005404D5">
      <w:pPr>
        <w:pStyle w:val="cnumbered"/>
      </w:pPr>
      <w:r w:rsidRPr="006B2E8B">
        <w:t>1.</w:t>
      </w:r>
      <w:r w:rsidRPr="006B2E8B">
        <w:tab/>
        <w:t>The person on whom the sterilization procedure is to be performed voluntarily requests such services.</w:t>
      </w:r>
    </w:p>
    <w:p w14:paraId="088F5BD2" w14:textId="77777777" w:rsidR="00392CB1" w:rsidRPr="006B2E8B" w:rsidRDefault="00392CB1" w:rsidP="005404D5">
      <w:pPr>
        <w:pStyle w:val="cnumbered"/>
      </w:pPr>
      <w:r w:rsidRPr="006B2E8B">
        <w:t>2.</w:t>
      </w:r>
      <w:r w:rsidRPr="006B2E8B">
        <w:tab/>
        <w:t>The person is mentally and legally competent to give informed consent.</w:t>
      </w:r>
    </w:p>
    <w:p w14:paraId="7EC24E64" w14:textId="77777777" w:rsidR="00392CB1" w:rsidRPr="006B2E8B" w:rsidRDefault="00392CB1" w:rsidP="005404D5">
      <w:pPr>
        <w:pStyle w:val="cnumbered"/>
      </w:pPr>
      <w:r w:rsidRPr="006B2E8B">
        <w:t>3.</w:t>
      </w:r>
      <w:r w:rsidRPr="006B2E8B">
        <w:tab/>
        <w:t>The person is 21 years of age or older at the time informed consent is obtained.</w:t>
      </w:r>
    </w:p>
    <w:p w14:paraId="7F4660FD" w14:textId="77777777" w:rsidR="00392CB1" w:rsidRPr="006B2E8B" w:rsidRDefault="00392CB1" w:rsidP="005404D5">
      <w:pPr>
        <w:pStyle w:val="cnumbered"/>
      </w:pPr>
      <w:r w:rsidRPr="006B2E8B">
        <w:lastRenderedPageBreak/>
        <w:t>4.</w:t>
      </w:r>
      <w:r w:rsidRPr="006B2E8B">
        <w:tab/>
        <w:t xml:space="preserve">The person to be sterilized shall not be an institutionalized individual.  The regulations define "institutionalized </w:t>
      </w:r>
      <w:proofErr w:type="gramStart"/>
      <w:r w:rsidRPr="006B2E8B">
        <w:t>individual</w:t>
      </w:r>
      <w:proofErr w:type="gramEnd"/>
      <w:r w:rsidRPr="006B2E8B">
        <w:t>" as a person who is:</w:t>
      </w:r>
    </w:p>
    <w:p w14:paraId="4A03C41E" w14:textId="77777777" w:rsidR="00392CB1" w:rsidRPr="006B2E8B" w:rsidRDefault="00392CB1" w:rsidP="005404D5">
      <w:pPr>
        <w:pStyle w:val="cletteredindent"/>
      </w:pPr>
      <w:r w:rsidRPr="006B2E8B">
        <w:t>a.</w:t>
      </w:r>
      <w:r w:rsidRPr="006B2E8B">
        <w:tab/>
        <w:t>Involuntarily confined or detained under a civil or criminal statute in a correctional or rehabilitative facility, including those for mental illness or</w:t>
      </w:r>
    </w:p>
    <w:p w14:paraId="0D8796A2" w14:textId="77777777" w:rsidR="00392CB1" w:rsidRPr="006B2E8B" w:rsidRDefault="00392CB1" w:rsidP="005404D5">
      <w:pPr>
        <w:pStyle w:val="cletteredindent"/>
      </w:pPr>
      <w:r w:rsidRPr="006B2E8B">
        <w:t>b.</w:t>
      </w:r>
      <w:r w:rsidRPr="006B2E8B">
        <w:tab/>
        <w:t>Confined under a voluntary commitment in a mental hospital or other facility for the care and treatment of mental illness.</w:t>
      </w:r>
    </w:p>
    <w:p w14:paraId="25AA6F43" w14:textId="77777777" w:rsidR="00392CB1" w:rsidRPr="006B2E8B" w:rsidRDefault="00392CB1" w:rsidP="005404D5">
      <w:pPr>
        <w:pStyle w:val="cnumbered"/>
      </w:pPr>
      <w:r w:rsidRPr="006B2E8B">
        <w:t>5.</w:t>
      </w:r>
      <w:r w:rsidRPr="006B2E8B">
        <w:tab/>
        <w:t>The person has been counseled, both orally and in writing, concerning the effect and impact of sterilization and alternative methods of birth control.</w:t>
      </w:r>
    </w:p>
    <w:p w14:paraId="167B2FD7" w14:textId="32C6AFAF" w:rsidR="00392CB1" w:rsidRPr="006B2E8B" w:rsidRDefault="00392CB1" w:rsidP="005404D5">
      <w:pPr>
        <w:pStyle w:val="cnumbered"/>
      </w:pPr>
      <w:r w:rsidRPr="006B2E8B">
        <w:t>6.</w:t>
      </w:r>
      <w:r w:rsidRPr="006B2E8B">
        <w:tab/>
        <w:t xml:space="preserve">Informed consent and counseling must be properly documented.  Only the official Sterilization Consent Form DMS-615, properly completed, complies with documentation requirements.  </w:t>
      </w:r>
      <w:hyperlink r:id="rId17" w:history="1">
        <w:r w:rsidRPr="006B2E8B">
          <w:rPr>
            <w:rStyle w:val="Hyperlink"/>
          </w:rPr>
          <w:t>View or print Sterilization Consent Form DMS-615 and Checklist.</w:t>
        </w:r>
      </w:hyperlink>
    </w:p>
    <w:p w14:paraId="0EE6FE0F" w14:textId="27EE6BE6" w:rsidR="00392CB1" w:rsidRPr="006B2E8B" w:rsidRDefault="00392CB1" w:rsidP="005404D5">
      <w:pPr>
        <w:pStyle w:val="cletteredindent"/>
      </w:pPr>
      <w:r w:rsidRPr="006B2E8B">
        <w:t>a.</w:t>
      </w:r>
      <w:r w:rsidRPr="006B2E8B">
        <w:tab/>
        <w:t xml:space="preserve">Copies may be ordered from the Arkansas Medicaid fiscal agent.  </w:t>
      </w:r>
      <w:hyperlink r:id="rId18" w:history="1">
        <w:r w:rsidRPr="006B2E8B">
          <w:rPr>
            <w:rStyle w:val="Hyperlink"/>
          </w:rPr>
          <w:t>View or print the Medicaid Form Request.</w:t>
        </w:r>
      </w:hyperlink>
      <w:r w:rsidRPr="006B2E8B">
        <w:t xml:space="preserve">  See Section III of any Arkansas Medicaid provider manual for instructions for ordering forms and publications.</w:t>
      </w:r>
    </w:p>
    <w:p w14:paraId="4EAD4CB5" w14:textId="5C4C786F" w:rsidR="00392CB1" w:rsidRPr="006B2E8B" w:rsidRDefault="00392CB1" w:rsidP="005404D5">
      <w:pPr>
        <w:pStyle w:val="cletteredindent"/>
      </w:pPr>
      <w:r w:rsidRPr="006B2E8B">
        <w:t>b.</w:t>
      </w:r>
      <w:r w:rsidRPr="006B2E8B">
        <w:tab/>
        <w:t xml:space="preserve">If the patient needs the Sterilization Consent Form in an alternative format, such as large print, contact our Americans with Disabilities Act Coordinator.  </w:t>
      </w:r>
      <w:hyperlink r:id="rId19" w:history="1">
        <w:r w:rsidRPr="006B2E8B">
          <w:rPr>
            <w:rStyle w:val="Hyperlink"/>
          </w:rPr>
          <w:t>View or print ADA Coordinator contact information.</w:t>
        </w:r>
      </w:hyperlink>
    </w:p>
    <w:p w14:paraId="69648BA0" w14:textId="1EB7BA58" w:rsidR="00392CB1" w:rsidRPr="006B2E8B" w:rsidRDefault="00392CB1" w:rsidP="005404D5">
      <w:pPr>
        <w:pStyle w:val="cnumbered"/>
      </w:pPr>
      <w:r w:rsidRPr="006B2E8B">
        <w:t>7.</w:t>
      </w:r>
      <w:r w:rsidRPr="006B2E8B">
        <w:tab/>
        <w:t xml:space="preserve">Available by order from the Arkansas Medicaid fiscal agent are two free informational publications:  Sterilization Consent Form-Information for Women (PUB-019) and Sterilization Consent Form-Information for Men (PUB-020).  </w:t>
      </w:r>
      <w:hyperlink r:id="rId20" w:history="1">
        <w:r w:rsidRPr="006B2E8B">
          <w:rPr>
            <w:rStyle w:val="Hyperlink"/>
          </w:rPr>
          <w:t>View or print the Medicaid Form Request.</w:t>
        </w:r>
      </w:hyperlink>
      <w:r w:rsidRPr="006B2E8B">
        <w:t xml:space="preserve">  See Section III of any Arkansas Medicaid provider manual for instructions for ordering forms and publications.</w:t>
      </w:r>
    </w:p>
    <w:p w14:paraId="514D6B17" w14:textId="77777777" w:rsidR="00392CB1" w:rsidRPr="006B2E8B" w:rsidRDefault="00392CB1" w:rsidP="005404D5">
      <w:pPr>
        <w:pStyle w:val="cnumbered"/>
      </w:pPr>
      <w:r w:rsidRPr="006B2E8B">
        <w:t>8.</w:t>
      </w:r>
      <w:r w:rsidRPr="006B2E8B">
        <w:tab/>
        <w:t>If you have any questions regarding any of these requirements, contact the Arkansas Medicaid Program before the sterilization.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2CB1" w:rsidRPr="006B2E8B" w14:paraId="7112B3B6"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221235C3" w14:textId="77777777" w:rsidR="00392CB1" w:rsidRPr="006B2E8B" w:rsidRDefault="00392CB1" w:rsidP="00392CB1">
            <w:pPr>
              <w:pStyle w:val="chead2"/>
              <w:numPr>
                <w:ilvl w:val="12"/>
                <w:numId w:val="0"/>
              </w:numPr>
            </w:pPr>
            <w:bookmarkStart w:id="93" w:name="_Toc40064400"/>
            <w:bookmarkStart w:id="94" w:name="_Toc202162632"/>
            <w:r w:rsidRPr="006B2E8B">
              <w:t>216.410</w:t>
            </w:r>
            <w:r w:rsidRPr="006B2E8B">
              <w:tab/>
              <w:t>Informed Consent to Sterilization</w:t>
            </w:r>
            <w:bookmarkEnd w:id="93"/>
            <w:bookmarkEnd w:id="94"/>
          </w:p>
        </w:tc>
        <w:tc>
          <w:tcPr>
            <w:tcW w:w="1238" w:type="dxa"/>
            <w:tcBorders>
              <w:top w:val="single" w:sz="6" w:space="0" w:color="FFFFFF"/>
              <w:left w:val="single" w:sz="6" w:space="0" w:color="FFFFFF"/>
              <w:bottom w:val="single" w:sz="6" w:space="0" w:color="FFFFFF"/>
              <w:right w:val="single" w:sz="6" w:space="0" w:color="FFFFFF"/>
            </w:tcBorders>
          </w:tcPr>
          <w:p w14:paraId="2FA53C9A" w14:textId="77777777" w:rsidR="00392CB1" w:rsidRPr="006B2E8B" w:rsidRDefault="00392CB1" w:rsidP="00392CB1">
            <w:pPr>
              <w:pStyle w:val="cDate2"/>
              <w:numPr>
                <w:ilvl w:val="12"/>
                <w:numId w:val="0"/>
              </w:numPr>
            </w:pPr>
            <w:r w:rsidRPr="006B2E8B">
              <w:t>7-15-12</w:t>
            </w:r>
          </w:p>
        </w:tc>
      </w:tr>
    </w:tbl>
    <w:p w14:paraId="7585502A" w14:textId="77777777" w:rsidR="00392CB1" w:rsidRPr="006B2E8B" w:rsidRDefault="00392CB1" w:rsidP="005404D5">
      <w:pPr>
        <w:pStyle w:val="CLETTERED"/>
      </w:pPr>
      <w:r w:rsidRPr="006B2E8B">
        <w:t>A.</w:t>
      </w:r>
      <w:r w:rsidRPr="006B2E8B">
        <w:tab/>
        <w:t>By signing the Sterilization Consent Form DMS-615, the patient certifies that she or he understands the entire process.</w:t>
      </w:r>
    </w:p>
    <w:p w14:paraId="16614FA0" w14:textId="77777777" w:rsidR="00392CB1" w:rsidRPr="006B2E8B" w:rsidRDefault="00392CB1" w:rsidP="005404D5">
      <w:pPr>
        <w:pStyle w:val="cnumbered"/>
      </w:pPr>
      <w:r w:rsidRPr="006B2E8B">
        <w:t>1.</w:t>
      </w:r>
      <w:r w:rsidRPr="006B2E8B">
        <w:tab/>
        <w:t xml:space="preserve">By signing the consent form, the person obtaining consent and the physician </w:t>
      </w:r>
      <w:proofErr w:type="gramStart"/>
      <w:r w:rsidRPr="006B2E8B">
        <w:t>certify</w:t>
      </w:r>
      <w:proofErr w:type="gramEnd"/>
      <w:r w:rsidRPr="006B2E8B">
        <w:t xml:space="preserve"> that, to the best of their knowledge, the patient is mentally competent to give informed consent.</w:t>
      </w:r>
    </w:p>
    <w:p w14:paraId="2E38640D" w14:textId="77777777" w:rsidR="00392CB1" w:rsidRPr="006B2E8B" w:rsidRDefault="00392CB1" w:rsidP="005404D5">
      <w:pPr>
        <w:pStyle w:val="cnumbered"/>
      </w:pPr>
      <w:r w:rsidRPr="006B2E8B">
        <w:t>2.</w:t>
      </w:r>
      <w:r w:rsidRPr="006B2E8B">
        <w:tab/>
        <w:t>If any questions concerning this requirement exist, you should contact the Arkansas Medicaid Program for clarification before the sterilization procedure is performed.</w:t>
      </w:r>
    </w:p>
    <w:p w14:paraId="4462FFAB" w14:textId="77777777" w:rsidR="00392CB1" w:rsidRPr="006B2E8B" w:rsidRDefault="00392CB1" w:rsidP="005404D5">
      <w:pPr>
        <w:pStyle w:val="CLETTERED"/>
      </w:pPr>
      <w:r w:rsidRPr="006B2E8B">
        <w:t>B.</w:t>
      </w:r>
      <w:r w:rsidRPr="006B2E8B">
        <w:tab/>
        <w:t>The person obtaining the consent for sterilization must sign and date the form after the beneficiary and interpreter sign, if an interpreter is used.</w:t>
      </w:r>
    </w:p>
    <w:p w14:paraId="24F71EC3" w14:textId="77777777" w:rsidR="00392CB1" w:rsidRPr="006B2E8B" w:rsidRDefault="00392CB1" w:rsidP="005404D5">
      <w:pPr>
        <w:pStyle w:val="cnumbered"/>
      </w:pPr>
      <w:r w:rsidRPr="006B2E8B">
        <w:t>1.</w:t>
      </w:r>
      <w:r w:rsidRPr="006B2E8B">
        <w:tab/>
        <w:t>This may be done immediately after the beneficiary and interpreter sign or it may be done later, but it must always be done before the sterilization procedure.</w:t>
      </w:r>
    </w:p>
    <w:p w14:paraId="3763D7F0" w14:textId="77777777" w:rsidR="00392CB1" w:rsidRPr="006B2E8B" w:rsidRDefault="00392CB1" w:rsidP="005404D5">
      <w:pPr>
        <w:pStyle w:val="cnumbered"/>
      </w:pPr>
      <w:r w:rsidRPr="006B2E8B">
        <w:t>2.</w:t>
      </w:r>
      <w:r w:rsidRPr="006B2E8B">
        <w:tab/>
        <w:t xml:space="preserve">The signature will attest to the fact that all elements of informed consent were given and </w:t>
      </w:r>
      <w:proofErr w:type="gramStart"/>
      <w:r w:rsidRPr="006B2E8B">
        <w:t>understood</w:t>
      </w:r>
      <w:proofErr w:type="gramEnd"/>
      <w:r w:rsidRPr="006B2E8B">
        <w:t xml:space="preserve"> and that consent was voluntarily given.</w:t>
      </w:r>
    </w:p>
    <w:p w14:paraId="0C5FD567" w14:textId="77777777" w:rsidR="00392CB1" w:rsidRPr="006B2E8B" w:rsidRDefault="00392CB1" w:rsidP="005404D5">
      <w:pPr>
        <w:pStyle w:val="CLETTERED"/>
      </w:pPr>
      <w:r w:rsidRPr="006B2E8B">
        <w:t>C.</w:t>
      </w:r>
      <w:r w:rsidRPr="006B2E8B">
        <w:tab/>
        <w:t>By signing the physician's statement on the consent form, the physician is certifying that shortly before the sterilization was performed, he or she again counseled the patient regarding the sterilization procedure.</w:t>
      </w:r>
    </w:p>
    <w:p w14:paraId="538A8145" w14:textId="77777777" w:rsidR="00392CB1" w:rsidRPr="006B2E8B" w:rsidRDefault="00392CB1" w:rsidP="005404D5">
      <w:pPr>
        <w:pStyle w:val="cnumbered"/>
      </w:pPr>
      <w:r w:rsidRPr="006B2E8B">
        <w:t>1.</w:t>
      </w:r>
      <w:r w:rsidRPr="006B2E8B">
        <w:tab/>
        <w:t>The State defines "shortly before" as one week (seven days) or less before the performance of the sterilization procedure.</w:t>
      </w:r>
    </w:p>
    <w:p w14:paraId="038E1E65" w14:textId="77777777" w:rsidR="00392CB1" w:rsidRPr="006B2E8B" w:rsidRDefault="00392CB1" w:rsidP="005404D5">
      <w:pPr>
        <w:pStyle w:val="cnumbered"/>
      </w:pPr>
      <w:r w:rsidRPr="006B2E8B">
        <w:t>2.</w:t>
      </w:r>
      <w:r w:rsidRPr="006B2E8B">
        <w:tab/>
        <w:t>The physician's signature on the consent form must be an original signature and not a rubber stamp.</w:t>
      </w:r>
    </w:p>
    <w:p w14:paraId="7E30B27F" w14:textId="77777777" w:rsidR="00392CB1" w:rsidRPr="006B2E8B" w:rsidRDefault="00392CB1" w:rsidP="005404D5">
      <w:pPr>
        <w:pStyle w:val="CLETTERED"/>
      </w:pPr>
      <w:r w:rsidRPr="006B2E8B">
        <w:t>D.</w:t>
      </w:r>
      <w:r w:rsidRPr="006B2E8B">
        <w:tab/>
        <w:t>Informed consent may not be obtained while the person to be sterilized is:</w:t>
      </w:r>
    </w:p>
    <w:p w14:paraId="2D3CBFFA" w14:textId="77777777" w:rsidR="00392CB1" w:rsidRPr="006B2E8B" w:rsidRDefault="00392CB1" w:rsidP="005404D5">
      <w:pPr>
        <w:pStyle w:val="cnumbered"/>
      </w:pPr>
      <w:r w:rsidRPr="006B2E8B">
        <w:lastRenderedPageBreak/>
        <w:t>1.</w:t>
      </w:r>
      <w:r w:rsidRPr="006B2E8B">
        <w:tab/>
        <w:t>In labor or childbirth,</w:t>
      </w:r>
    </w:p>
    <w:p w14:paraId="0E9DADD1" w14:textId="77777777" w:rsidR="00392CB1" w:rsidRPr="006B2E8B" w:rsidRDefault="00392CB1" w:rsidP="005404D5">
      <w:pPr>
        <w:pStyle w:val="cnumbered"/>
      </w:pPr>
      <w:r w:rsidRPr="006B2E8B">
        <w:t>2.</w:t>
      </w:r>
      <w:r w:rsidRPr="006B2E8B">
        <w:tab/>
        <w:t xml:space="preserve">Seeking to obtain or </w:t>
      </w:r>
      <w:proofErr w:type="gramStart"/>
      <w:r w:rsidRPr="006B2E8B">
        <w:t>obtaining</w:t>
      </w:r>
      <w:proofErr w:type="gramEnd"/>
      <w:r w:rsidRPr="006B2E8B">
        <w:t xml:space="preserve"> an abortion or</w:t>
      </w:r>
    </w:p>
    <w:p w14:paraId="5221F627" w14:textId="77777777" w:rsidR="00392CB1" w:rsidRPr="006B2E8B" w:rsidRDefault="00392CB1" w:rsidP="005404D5">
      <w:pPr>
        <w:pStyle w:val="cnumbered"/>
      </w:pPr>
      <w:r w:rsidRPr="006B2E8B">
        <w:t>3.</w:t>
      </w:r>
      <w:r w:rsidRPr="006B2E8B">
        <w:tab/>
        <w:t>Under the influence of alcohol or other substances that affect the individual's state of awareness.</w:t>
      </w:r>
    </w:p>
    <w:p w14:paraId="7BED1E17" w14:textId="77777777" w:rsidR="00392CB1" w:rsidRPr="006B2E8B" w:rsidRDefault="00392CB1" w:rsidP="005404D5">
      <w:pPr>
        <w:pStyle w:val="CLETTERED"/>
      </w:pPr>
      <w:r w:rsidRPr="006B2E8B">
        <w:t>E.</w:t>
      </w:r>
      <w:r w:rsidRPr="006B2E8B">
        <w:tab/>
        <w:t xml:space="preserve">The sterilization must be </w:t>
      </w:r>
      <w:proofErr w:type="gramStart"/>
      <w:r w:rsidRPr="006B2E8B">
        <w:t>performed</w:t>
      </w:r>
      <w:proofErr w:type="gramEnd"/>
      <w:r w:rsidRPr="006B2E8B">
        <w:t xml:space="preserve"> at least 30 days, but not more than 180 days, after the date of informed consent.  The following are exceptions to the 30-day waiting period:</w:t>
      </w:r>
    </w:p>
    <w:p w14:paraId="52A85616" w14:textId="77777777" w:rsidR="00392CB1" w:rsidRPr="006B2E8B" w:rsidRDefault="00392CB1" w:rsidP="005404D5">
      <w:pPr>
        <w:pStyle w:val="cnumbered"/>
      </w:pPr>
      <w:r w:rsidRPr="006B2E8B">
        <w:t>1.</w:t>
      </w:r>
      <w:r w:rsidRPr="006B2E8B">
        <w:tab/>
        <w:t>In the case of premature delivery, provided at least 72 hours have passed between giving the informed consent and performance of the sterilization procedure and counseling and informed consent were given at least 30 days before the expected date of delivery.</w:t>
      </w:r>
    </w:p>
    <w:p w14:paraId="1EFB5C0A" w14:textId="77777777" w:rsidR="00392CB1" w:rsidRPr="006B2E8B" w:rsidRDefault="00392CB1" w:rsidP="005404D5">
      <w:pPr>
        <w:pStyle w:val="cnumbered"/>
      </w:pPr>
      <w:r w:rsidRPr="006B2E8B">
        <w:t>2.</w:t>
      </w:r>
      <w:r w:rsidRPr="006B2E8B">
        <w:tab/>
        <w:t xml:space="preserve">In the case of emergency abdominal surgery, </w:t>
      </w:r>
      <w:proofErr w:type="gramStart"/>
      <w:r w:rsidRPr="006B2E8B">
        <w:t>provided at least 72 hours have passed</w:t>
      </w:r>
      <w:proofErr w:type="gramEnd"/>
      <w:r w:rsidRPr="006B2E8B">
        <w:t xml:space="preserve"> between giving informed consent and the performance of the sterilization procedure.</w:t>
      </w:r>
    </w:p>
    <w:p w14:paraId="2C06C181" w14:textId="6D9249C5" w:rsidR="00392CB1" w:rsidRPr="006B2E8B" w:rsidRDefault="00392CB1" w:rsidP="005404D5">
      <w:pPr>
        <w:pStyle w:val="CLETTERED"/>
      </w:pPr>
      <w:r w:rsidRPr="006B2E8B">
        <w:tab/>
        <w:t xml:space="preserve">Either of these exceptions to the 30-day waiting period must be properly documented on the form DMS-615.  </w:t>
      </w:r>
      <w:hyperlink r:id="rId21" w:history="1">
        <w:r w:rsidRPr="006B2E8B">
          <w:rPr>
            <w:rStyle w:val="Hyperlink"/>
          </w:rPr>
          <w:t>View or print Sterilization Consent Form DMS-615 and checklist.</w:t>
        </w:r>
      </w:hyperlink>
    </w:p>
    <w:p w14:paraId="1A3A2B7C" w14:textId="77777777" w:rsidR="00392CB1" w:rsidRPr="006B2E8B" w:rsidRDefault="00392CB1" w:rsidP="005404D5">
      <w:pPr>
        <w:pStyle w:val="CLETTERED"/>
      </w:pPr>
      <w:r w:rsidRPr="006B2E8B">
        <w:t>F.</w:t>
      </w:r>
      <w:r w:rsidRPr="006B2E8B">
        <w:tab/>
        <w:t xml:space="preserve">The person is informed before any sterilization discussion or counseling that no benefits or rights will be lost because of refusal to be </w:t>
      </w:r>
      <w:proofErr w:type="gramStart"/>
      <w:r w:rsidRPr="006B2E8B">
        <w:t>sterilized</w:t>
      </w:r>
      <w:proofErr w:type="gramEnd"/>
      <w:r w:rsidRPr="006B2E8B">
        <w:t xml:space="preserve"> and that sterilization is an entirely voluntary matter.  This should be explained again just before the sterilization procedure takes place.</w:t>
      </w:r>
    </w:p>
    <w:p w14:paraId="44A301AC" w14:textId="77777777" w:rsidR="00392CB1" w:rsidRPr="006B2E8B" w:rsidRDefault="00392CB1" w:rsidP="005404D5">
      <w:pPr>
        <w:pStyle w:val="CLETTERED"/>
      </w:pPr>
      <w:r w:rsidRPr="006B2E8B">
        <w:t>G.</w:t>
      </w:r>
      <w:r w:rsidRPr="006B2E8B">
        <w:tab/>
        <w:t>If the person is an individual with a physical disability and signs the consent form with an "X," two witnesses must also sign and include a statement regarding the reason the patient signed with an "X," such as stroke, paralysis, legally blind, etc.  If a consent form is received that does not have the statement attached, the claim will be denied.</w:t>
      </w:r>
    </w:p>
    <w:p w14:paraId="3C840438" w14:textId="77777777" w:rsidR="00392CB1" w:rsidRPr="006B2E8B" w:rsidRDefault="00392CB1" w:rsidP="005404D5">
      <w:pPr>
        <w:pStyle w:val="CLETTERED"/>
      </w:pPr>
      <w:r w:rsidRPr="006B2E8B">
        <w:t>H.</w:t>
      </w:r>
      <w:r w:rsidRPr="006B2E8B">
        <w:tab/>
        <w:t xml:space="preserve">A copy of the properly completed form DMS-615, with all items legible, must be attached to </w:t>
      </w:r>
      <w:proofErr w:type="gramStart"/>
      <w:r w:rsidRPr="006B2E8B">
        <w:t>each</w:t>
      </w:r>
      <w:proofErr w:type="gramEnd"/>
      <w:r w:rsidRPr="006B2E8B">
        <w:t xml:space="preserve"> claim submitted </w:t>
      </w:r>
      <w:proofErr w:type="gramStart"/>
      <w:r w:rsidRPr="006B2E8B">
        <w:t>from</w:t>
      </w:r>
      <w:proofErr w:type="gramEnd"/>
      <w:r w:rsidRPr="006B2E8B">
        <w:t xml:space="preserve"> each provider.  Providers include FQHCs, hospitals, physicians, </w:t>
      </w:r>
      <w:proofErr w:type="gramStart"/>
      <w:r w:rsidRPr="006B2E8B">
        <w:t>anesthesiologists</w:t>
      </w:r>
      <w:proofErr w:type="gramEnd"/>
      <w:r w:rsidRPr="006B2E8B">
        <w:t xml:space="preserve"> and assistant surgeons.  It is the responsibility of the physician performing the sterilization procedure to distribute correct legible copies of the signed "Sterilization Consent Form" DMS-615 to the hospital, </w:t>
      </w:r>
      <w:proofErr w:type="gramStart"/>
      <w:r w:rsidRPr="006B2E8B">
        <w:t>anesthesiologist</w:t>
      </w:r>
      <w:proofErr w:type="gramEnd"/>
      <w:r w:rsidRPr="006B2E8B">
        <w:t xml:space="preserve"> and assistant surgeon.</w:t>
      </w:r>
    </w:p>
    <w:p w14:paraId="2FA29EED" w14:textId="77777777" w:rsidR="00392CB1" w:rsidRPr="006B2E8B" w:rsidRDefault="00392CB1" w:rsidP="005404D5">
      <w:pPr>
        <w:pStyle w:val="CLETTERED"/>
      </w:pPr>
      <w:r w:rsidRPr="006B2E8B">
        <w:t>I.</w:t>
      </w:r>
      <w:r w:rsidRPr="006B2E8B">
        <w:tab/>
        <w:t>Sterilizations are covered only when informed consent is properly documented by means of the form DMS-615.</w:t>
      </w:r>
    </w:p>
    <w:p w14:paraId="0CB7C7FC" w14:textId="5BBC43CA" w:rsidR="00392CB1" w:rsidRPr="006B2E8B" w:rsidRDefault="00392CB1" w:rsidP="005404D5">
      <w:pPr>
        <w:pStyle w:val="cnumbered"/>
      </w:pPr>
      <w:r w:rsidRPr="006B2E8B">
        <w:t>1.</w:t>
      </w:r>
      <w:r w:rsidRPr="006B2E8B">
        <w:tab/>
      </w:r>
      <w:hyperlink r:id="rId22" w:history="1">
        <w:r w:rsidRPr="006B2E8B">
          <w:rPr>
            <w:rStyle w:val="Hyperlink"/>
          </w:rPr>
          <w:t>View or print a checklist for Form DMS-615</w:t>
        </w:r>
      </w:hyperlink>
      <w:r w:rsidRPr="006B2E8B">
        <w:t>, which lists consent form items that DMS medical staff reviews to determine whether a sterilization procedure will be covered.</w:t>
      </w:r>
    </w:p>
    <w:p w14:paraId="017FD8E1" w14:textId="77777777" w:rsidR="00392CB1" w:rsidRPr="006B2E8B" w:rsidRDefault="00392CB1" w:rsidP="005404D5">
      <w:pPr>
        <w:pStyle w:val="cnumbered"/>
      </w:pPr>
      <w:r w:rsidRPr="006B2E8B">
        <w:t>2.</w:t>
      </w:r>
      <w:r w:rsidRPr="006B2E8B">
        <w:tab/>
        <w:t>Using the checklist will help ensure the submittal of a correct form DMS-615.</w:t>
      </w:r>
    </w:p>
    <w:p w14:paraId="20AFEA69" w14:textId="77777777" w:rsidR="00392CB1" w:rsidRPr="006B2E8B" w:rsidRDefault="00392CB1" w:rsidP="00392CB1">
      <w:pPr>
        <w:pStyle w:val="CLETTERED"/>
      </w:pPr>
      <w:r w:rsidRPr="006B2E8B">
        <w:t>J.</w:t>
      </w:r>
      <w:r w:rsidRPr="006B2E8B">
        <w:tab/>
        <w:t xml:space="preserve">The individual undergoing the procedure </w:t>
      </w:r>
      <w:proofErr w:type="gramStart"/>
      <w:r w:rsidRPr="006B2E8B">
        <w:t>must receive,</w:t>
      </w:r>
      <w:proofErr w:type="gramEnd"/>
      <w:r w:rsidRPr="006B2E8B">
        <w:t xml:space="preserve"> from the physician performing the procedure or the facility in which the sterilization procedure takes place, an identical copy of the completed consent form that he or she signed and dated.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D47DA" w:rsidRPr="006B2E8B" w14:paraId="7BCBF349" w14:textId="77777777" w:rsidTr="008D1BB2">
        <w:trPr>
          <w:cantSplit/>
        </w:trPr>
        <w:tc>
          <w:tcPr>
            <w:tcW w:w="8122" w:type="dxa"/>
            <w:tcBorders>
              <w:top w:val="single" w:sz="2" w:space="0" w:color="FFFFFF"/>
              <w:left w:val="single" w:sz="2" w:space="0" w:color="FFFFFF"/>
              <w:bottom w:val="single" w:sz="2" w:space="0" w:color="FFFFFF"/>
              <w:right w:val="single" w:sz="6" w:space="0" w:color="FFFFFF"/>
            </w:tcBorders>
          </w:tcPr>
          <w:p w14:paraId="17C07A3E" w14:textId="77777777" w:rsidR="009D47DA" w:rsidRPr="006B2E8B" w:rsidRDefault="009D47DA" w:rsidP="008D1BB2">
            <w:pPr>
              <w:pStyle w:val="chead2"/>
              <w:numPr>
                <w:ilvl w:val="12"/>
                <w:numId w:val="0"/>
              </w:numPr>
              <w:ind w:left="1440" w:hanging="1440"/>
            </w:pPr>
            <w:bookmarkStart w:id="95" w:name="_Toc40064401"/>
            <w:bookmarkStart w:id="96" w:name="_Toc202162633"/>
            <w:r w:rsidRPr="006B2E8B">
              <w:t>217.000</w:t>
            </w:r>
            <w:r w:rsidRPr="006B2E8B">
              <w:tab/>
              <w:t>Non-Covered Services</w:t>
            </w:r>
            <w:bookmarkEnd w:id="95"/>
            <w:bookmarkEnd w:id="96"/>
          </w:p>
        </w:tc>
        <w:tc>
          <w:tcPr>
            <w:tcW w:w="1238" w:type="dxa"/>
            <w:tcBorders>
              <w:top w:val="single" w:sz="2" w:space="0" w:color="FFFFFF"/>
              <w:left w:val="single" w:sz="6" w:space="0" w:color="FFFFFF"/>
              <w:bottom w:val="single" w:sz="2" w:space="0" w:color="FFFFFF"/>
              <w:right w:val="single" w:sz="2" w:space="0" w:color="FFFFFF"/>
            </w:tcBorders>
          </w:tcPr>
          <w:p w14:paraId="4E1E4F10" w14:textId="77777777" w:rsidR="009D47DA" w:rsidRPr="006B2E8B" w:rsidRDefault="009D47DA" w:rsidP="008D1BB2">
            <w:pPr>
              <w:pStyle w:val="cDate2"/>
              <w:numPr>
                <w:ilvl w:val="12"/>
                <w:numId w:val="0"/>
              </w:numPr>
            </w:pPr>
            <w:r w:rsidRPr="006B2E8B">
              <w:t>12-15-14</w:t>
            </w:r>
          </w:p>
        </w:tc>
      </w:tr>
    </w:tbl>
    <w:p w14:paraId="5A413134" w14:textId="77777777" w:rsidR="006D15F7" w:rsidRPr="006B2E8B" w:rsidRDefault="009D47DA">
      <w:pPr>
        <w:pStyle w:val="ctext"/>
        <w:numPr>
          <w:ilvl w:val="12"/>
          <w:numId w:val="0"/>
        </w:numPr>
        <w:ind w:left="360"/>
      </w:pPr>
      <w:r w:rsidRPr="006B2E8B">
        <w:t xml:space="preserve">Medicaid does not cover services that are not medically necessary, </w:t>
      </w:r>
      <w:proofErr w:type="gramStart"/>
      <w:r w:rsidRPr="006B2E8B">
        <w:t>cosmetic</w:t>
      </w:r>
      <w:proofErr w:type="gramEnd"/>
      <w:r w:rsidRPr="006B2E8B">
        <w:t>, experimental or that are not generally accepted by the medical profession.  Medicaid does not cover services that are not documented by diagnoses that certify medical necessity.  Arkansas Medicaid has identified some ICD diagnosis codes that do not certify medical necessity.  See Sections 262.430 and 262.440 for diagnosis codes that are not covered by Arkansas Medicaid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E54129" w:rsidRPr="006B2E8B" w14:paraId="07879894"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12097122" w14:textId="77777777" w:rsidR="00E54129" w:rsidRPr="006B2E8B" w:rsidRDefault="00E54129" w:rsidP="00E54129">
            <w:pPr>
              <w:pStyle w:val="chead2"/>
              <w:numPr>
                <w:ilvl w:val="12"/>
                <w:numId w:val="0"/>
              </w:numPr>
              <w:ind w:left="1440" w:hanging="1440"/>
            </w:pPr>
            <w:bookmarkStart w:id="97" w:name="_Toc40064402"/>
            <w:bookmarkStart w:id="98" w:name="_Toc121472162"/>
            <w:bookmarkStart w:id="99" w:name="_Toc202162634"/>
            <w:r w:rsidRPr="006B2E8B">
              <w:t>220.000</w:t>
            </w:r>
            <w:r w:rsidRPr="006B2E8B">
              <w:tab/>
              <w:t>Benefit Limits</w:t>
            </w:r>
            <w:bookmarkEnd w:id="97"/>
            <w:bookmarkEnd w:id="98"/>
            <w:bookmarkEnd w:id="99"/>
          </w:p>
        </w:tc>
        <w:tc>
          <w:tcPr>
            <w:tcW w:w="1238" w:type="dxa"/>
            <w:tcBorders>
              <w:top w:val="single" w:sz="6" w:space="0" w:color="FFFFFF"/>
              <w:left w:val="single" w:sz="6" w:space="0" w:color="FFFFFF"/>
              <w:bottom w:val="single" w:sz="6" w:space="0" w:color="FFFFFF"/>
              <w:right w:val="single" w:sz="6" w:space="0" w:color="FFFFFF"/>
            </w:tcBorders>
          </w:tcPr>
          <w:p w14:paraId="0F45E5A5" w14:textId="3DB08F05" w:rsidR="00E54129" w:rsidRPr="006B2E8B" w:rsidRDefault="003204A9" w:rsidP="00E54129">
            <w:pPr>
              <w:pStyle w:val="cDate2"/>
              <w:numPr>
                <w:ilvl w:val="12"/>
                <w:numId w:val="0"/>
              </w:numPr>
            </w:pPr>
            <w:r w:rsidRPr="006B2E8B">
              <w:t>7-1-25</w:t>
            </w:r>
          </w:p>
        </w:tc>
      </w:tr>
    </w:tbl>
    <w:p w14:paraId="1C2BF99E" w14:textId="77777777" w:rsidR="006B2E8B" w:rsidRPr="009B48B9" w:rsidRDefault="006B2E8B" w:rsidP="001C02F9">
      <w:pPr>
        <w:pStyle w:val="CLETTERED"/>
      </w:pPr>
      <w:r w:rsidRPr="009B48B9">
        <w:lastRenderedPageBreak/>
        <w:t>A.</w:t>
      </w:r>
      <w:r w:rsidRPr="009B48B9">
        <w:tab/>
        <w:t>Arkansas Medicaid clients aged twenty-one (21) and older are limited to sixteen (16) FQHC core service encounters per state fiscal year (SFY, July 1 through June 30).</w:t>
      </w:r>
    </w:p>
    <w:p w14:paraId="5E13D280" w14:textId="77777777" w:rsidR="006B2E8B" w:rsidRPr="009B48B9" w:rsidRDefault="006B2E8B" w:rsidP="001C02F9">
      <w:pPr>
        <w:pStyle w:val="CLETTERED"/>
      </w:pPr>
      <w:r w:rsidRPr="009B48B9">
        <w:tab/>
        <w:t>The following services are counted toward the sixteen (16) encounters per SFY benefit limit:</w:t>
      </w:r>
    </w:p>
    <w:p w14:paraId="397F69DE" w14:textId="77777777" w:rsidR="006B2E8B" w:rsidRPr="009B48B9" w:rsidRDefault="006B2E8B" w:rsidP="001C02F9">
      <w:pPr>
        <w:pStyle w:val="cnumbered"/>
      </w:pPr>
      <w:r w:rsidRPr="009B48B9">
        <w:t>1.</w:t>
      </w:r>
      <w:r w:rsidRPr="009B48B9">
        <w:tab/>
        <w:t xml:space="preserve">Federally Qualified Health Center (FQHC) </w:t>
      </w:r>
      <w:proofErr w:type="gramStart"/>
      <w:r w:rsidRPr="009B48B9">
        <w:t>encounters;</w:t>
      </w:r>
      <w:proofErr w:type="gramEnd"/>
    </w:p>
    <w:p w14:paraId="680D3CAB" w14:textId="77777777" w:rsidR="006B2E8B" w:rsidRPr="009B48B9" w:rsidRDefault="006B2E8B" w:rsidP="001C02F9">
      <w:pPr>
        <w:pStyle w:val="cnumbered"/>
      </w:pPr>
      <w:r w:rsidRPr="009B48B9">
        <w:t>2.</w:t>
      </w:r>
      <w:r w:rsidRPr="009B48B9">
        <w:tab/>
        <w:t xml:space="preserve">Physician visits in the office, patient’s home, or nursing </w:t>
      </w:r>
      <w:proofErr w:type="gramStart"/>
      <w:r w:rsidRPr="009B48B9">
        <w:t>facility;</w:t>
      </w:r>
      <w:proofErr w:type="gramEnd"/>
    </w:p>
    <w:p w14:paraId="5EDD4FD9" w14:textId="77777777" w:rsidR="006B2E8B" w:rsidRPr="009B48B9" w:rsidRDefault="006B2E8B" w:rsidP="001C02F9">
      <w:pPr>
        <w:pStyle w:val="cnumbered"/>
      </w:pPr>
      <w:r w:rsidRPr="009B48B9">
        <w:t>3.</w:t>
      </w:r>
      <w:r w:rsidRPr="009B48B9">
        <w:tab/>
        <w:t xml:space="preserve">Certified nurse-midwife </w:t>
      </w:r>
      <w:proofErr w:type="gramStart"/>
      <w:r w:rsidRPr="009B48B9">
        <w:t>visits;</w:t>
      </w:r>
      <w:proofErr w:type="gramEnd"/>
    </w:p>
    <w:p w14:paraId="6B4D2EF7" w14:textId="77777777" w:rsidR="006B2E8B" w:rsidRPr="009B48B9" w:rsidRDefault="006B2E8B" w:rsidP="001C02F9">
      <w:pPr>
        <w:pStyle w:val="cnumbered"/>
      </w:pPr>
      <w:r w:rsidRPr="009B48B9">
        <w:t>4.</w:t>
      </w:r>
      <w:r w:rsidRPr="009B48B9">
        <w:tab/>
        <w:t xml:space="preserve">RHC </w:t>
      </w:r>
      <w:proofErr w:type="gramStart"/>
      <w:r w:rsidRPr="009B48B9">
        <w:t>encounters;</w:t>
      </w:r>
      <w:proofErr w:type="gramEnd"/>
    </w:p>
    <w:p w14:paraId="0B0FB298" w14:textId="77777777" w:rsidR="006B2E8B" w:rsidRPr="009B48B9" w:rsidRDefault="006B2E8B" w:rsidP="001C02F9">
      <w:pPr>
        <w:pStyle w:val="cnumbered"/>
      </w:pPr>
      <w:r w:rsidRPr="009B48B9">
        <w:t>5.</w:t>
      </w:r>
      <w:r w:rsidRPr="009B48B9">
        <w:tab/>
        <w:t xml:space="preserve">Medical services provided by a </w:t>
      </w:r>
      <w:proofErr w:type="gramStart"/>
      <w:r w:rsidRPr="009B48B9">
        <w:t>dentist;</w:t>
      </w:r>
      <w:proofErr w:type="gramEnd"/>
    </w:p>
    <w:p w14:paraId="7443243E" w14:textId="77777777" w:rsidR="006B2E8B" w:rsidRPr="009B48B9" w:rsidRDefault="006B2E8B" w:rsidP="001C02F9">
      <w:pPr>
        <w:pStyle w:val="cnumbered"/>
      </w:pPr>
      <w:r w:rsidRPr="009B48B9">
        <w:t>6.</w:t>
      </w:r>
      <w:r w:rsidRPr="009B48B9">
        <w:tab/>
        <w:t>Medical services provided by an optometrist; and</w:t>
      </w:r>
    </w:p>
    <w:p w14:paraId="4ED2531C" w14:textId="77777777" w:rsidR="006B2E8B" w:rsidRPr="009B48B9" w:rsidRDefault="006B2E8B" w:rsidP="001C02F9">
      <w:pPr>
        <w:pStyle w:val="cnumbered"/>
      </w:pPr>
      <w:r w:rsidRPr="009B48B9">
        <w:t>7.</w:t>
      </w:r>
      <w:r w:rsidRPr="009B48B9">
        <w:tab/>
        <w:t xml:space="preserve">Advanced </w:t>
      </w:r>
      <w:proofErr w:type="gramStart"/>
      <w:r w:rsidRPr="009B48B9">
        <w:t>practice</w:t>
      </w:r>
      <w:proofErr w:type="gramEnd"/>
      <w:r w:rsidRPr="009B48B9">
        <w:t xml:space="preserve"> registered nurse services in the office, patient’s home, or nursing facility.</w:t>
      </w:r>
    </w:p>
    <w:p w14:paraId="75CB4B49" w14:textId="77777777" w:rsidR="006B2E8B" w:rsidRPr="009B48B9" w:rsidRDefault="006B2E8B" w:rsidP="001C02F9">
      <w:pPr>
        <w:pStyle w:val="CLETTERED"/>
      </w:pPr>
      <w:r w:rsidRPr="009B48B9">
        <w:t>B.</w:t>
      </w:r>
      <w:r w:rsidRPr="009B48B9">
        <w:tab/>
        <w:t>The following services are not counted toward the sixteen (16) encounters per SFY benefit limit:</w:t>
      </w:r>
    </w:p>
    <w:p w14:paraId="131421DD" w14:textId="77777777" w:rsidR="006B2E8B" w:rsidRPr="009B48B9" w:rsidRDefault="006B2E8B" w:rsidP="001C02F9">
      <w:pPr>
        <w:pStyle w:val="cnumbered"/>
      </w:pPr>
      <w:r w:rsidRPr="009B48B9">
        <w:t>1.</w:t>
      </w:r>
      <w:r w:rsidRPr="009B48B9">
        <w:tab/>
        <w:t>FQHC inpatient hospital visits do not count against the FQHC encounter benefit limit. Medicaid covers only one (1) FQHC inpatient hospital visit per Medicaid-covered inpatient day, for clients of all ages.</w:t>
      </w:r>
    </w:p>
    <w:p w14:paraId="0663D5F5" w14:textId="77777777" w:rsidR="006B2E8B" w:rsidRPr="00D630E4" w:rsidRDefault="006B2E8B" w:rsidP="001C02F9">
      <w:pPr>
        <w:pStyle w:val="cnumbered"/>
        <w:rPr>
          <w:highlight w:val="yellow"/>
        </w:rPr>
      </w:pPr>
      <w:r w:rsidRPr="009B48B9">
        <w:t>2.</w:t>
      </w:r>
      <w:r w:rsidRPr="009B48B9">
        <w:tab/>
        <w:t>Obstetric and gynecologic procedures reported by CPT surgical procedure code do not count against the FQHC encounter benefit limit.</w:t>
      </w:r>
    </w:p>
    <w:p w14:paraId="3F13D419" w14:textId="77777777" w:rsidR="006B2E8B" w:rsidRPr="009B48B9" w:rsidRDefault="006B2E8B" w:rsidP="001C02F9">
      <w:pPr>
        <w:pStyle w:val="cnumbered"/>
      </w:pPr>
      <w:r w:rsidRPr="00D630E4">
        <w:rPr>
          <w:highlight w:val="yellow"/>
        </w:rPr>
        <w:t>3.</w:t>
      </w:r>
      <w:r w:rsidRPr="00D630E4">
        <w:rPr>
          <w:highlight w:val="yellow"/>
        </w:rPr>
        <w:tab/>
        <w:t>Postpartum visits are to be billed as an encounter, with an appropriate postpartum diagnosis code. These will not count against the FQHC encounter benefit limit.</w:t>
      </w:r>
    </w:p>
    <w:p w14:paraId="76BC907B" w14:textId="77777777" w:rsidR="006B2E8B" w:rsidRPr="009B48B9" w:rsidRDefault="006B2E8B" w:rsidP="001C02F9">
      <w:pPr>
        <w:pStyle w:val="cnumbered"/>
      </w:pPr>
      <w:r w:rsidRPr="00D630E4">
        <w:rPr>
          <w:highlight w:val="yellow"/>
        </w:rPr>
        <w:t>4</w:t>
      </w:r>
      <w:r w:rsidRPr="009B48B9">
        <w:t>.</w:t>
      </w:r>
      <w:r w:rsidRPr="009B48B9">
        <w:tab/>
        <w:t>Family planning surgeries and encounters do not count against the FQHC encounter benefit limit.</w:t>
      </w:r>
    </w:p>
    <w:p w14:paraId="3AFFB0E0" w14:textId="77777777" w:rsidR="006B2E8B" w:rsidRPr="009B48B9" w:rsidRDefault="006B2E8B" w:rsidP="001C02F9">
      <w:pPr>
        <w:pStyle w:val="cnumbered"/>
      </w:pPr>
      <w:r w:rsidRPr="00D630E4">
        <w:rPr>
          <w:highlight w:val="yellow"/>
        </w:rPr>
        <w:t>5</w:t>
      </w:r>
      <w:r w:rsidRPr="009B48B9">
        <w:t>.</w:t>
      </w:r>
      <w:r w:rsidRPr="009B48B9">
        <w:tab/>
        <w:t>Medication Assisted Treatment for Opioid Use Disorder does not count against the FQHC encounter limit when it is the primary diagnosis (</w:t>
      </w:r>
      <w:hyperlink r:id="rId23" w:history="1">
        <w:r w:rsidRPr="007D6644">
          <w:rPr>
            <w:rStyle w:val="Hyperlink"/>
          </w:rPr>
          <w:t>View ICD OUD Codes</w:t>
        </w:r>
      </w:hyperlink>
      <w:r w:rsidRPr="007D6644">
        <w:t>).</w:t>
      </w:r>
    </w:p>
    <w:p w14:paraId="7E315451" w14:textId="77777777" w:rsidR="006B2E8B" w:rsidRPr="00F85189" w:rsidRDefault="006B2E8B" w:rsidP="006B2E8B">
      <w:pPr>
        <w:pStyle w:val="CLETTERED"/>
      </w:pPr>
      <w:r w:rsidRPr="009B48B9">
        <w:t>C.</w:t>
      </w:r>
      <w:r w:rsidRPr="009B48B9">
        <w:tab/>
        <w:t>Medicaid clients under the age of twenty-one (21) in the Child Health Services (EPSDT) Program are not subject to an FQHC encounter benefit limit.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51F008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99BFDA2" w14:textId="77777777" w:rsidR="006D15F7" w:rsidRPr="006B2E8B" w:rsidRDefault="006D15F7">
            <w:pPr>
              <w:pStyle w:val="chead2"/>
              <w:numPr>
                <w:ilvl w:val="12"/>
                <w:numId w:val="0"/>
              </w:numPr>
              <w:ind w:left="1440" w:hanging="1440"/>
            </w:pPr>
            <w:bookmarkStart w:id="100" w:name="_Toc40064403"/>
            <w:bookmarkStart w:id="101" w:name="_Toc202162635"/>
            <w:r w:rsidRPr="006B2E8B">
              <w:t>220.100</w:t>
            </w:r>
            <w:r w:rsidRPr="006B2E8B">
              <w:tab/>
              <w:t>Family Planning Benefit Limits</w:t>
            </w:r>
            <w:bookmarkEnd w:id="100"/>
            <w:bookmarkEnd w:id="101"/>
          </w:p>
        </w:tc>
        <w:tc>
          <w:tcPr>
            <w:tcW w:w="1238" w:type="dxa"/>
            <w:tcBorders>
              <w:top w:val="single" w:sz="6" w:space="0" w:color="FFFFFF"/>
              <w:left w:val="single" w:sz="6" w:space="0" w:color="FFFFFF"/>
              <w:bottom w:val="single" w:sz="6" w:space="0" w:color="FFFFFF"/>
              <w:right w:val="single" w:sz="6" w:space="0" w:color="FFFFFF"/>
            </w:tcBorders>
          </w:tcPr>
          <w:p w14:paraId="005E1A2E" w14:textId="77777777" w:rsidR="006D15F7" w:rsidRPr="006B2E8B" w:rsidRDefault="006D15F7">
            <w:pPr>
              <w:pStyle w:val="cDate2"/>
              <w:numPr>
                <w:ilvl w:val="12"/>
                <w:numId w:val="0"/>
              </w:numPr>
            </w:pPr>
          </w:p>
        </w:tc>
      </w:tr>
      <w:tr w:rsidR="006D15F7" w:rsidRPr="006B2E8B" w14:paraId="1E016B8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163D5CC" w14:textId="77777777" w:rsidR="006D15F7" w:rsidRPr="006B2E8B" w:rsidRDefault="006D15F7">
            <w:pPr>
              <w:pStyle w:val="chead2"/>
              <w:numPr>
                <w:ilvl w:val="12"/>
                <w:numId w:val="0"/>
              </w:numPr>
              <w:ind w:left="1440" w:hanging="1440"/>
            </w:pPr>
            <w:bookmarkStart w:id="102" w:name="_Toc40064404"/>
            <w:bookmarkStart w:id="103" w:name="_Toc202162636"/>
            <w:r w:rsidRPr="006B2E8B">
              <w:t>220.110</w:t>
            </w:r>
            <w:r w:rsidRPr="006B2E8B">
              <w:tab/>
              <w:t>Family Planning Visit Benefit Limit</w:t>
            </w:r>
            <w:bookmarkEnd w:id="102"/>
            <w:bookmarkEnd w:id="103"/>
          </w:p>
        </w:tc>
        <w:tc>
          <w:tcPr>
            <w:tcW w:w="1238" w:type="dxa"/>
            <w:tcBorders>
              <w:top w:val="single" w:sz="6" w:space="0" w:color="FFFFFF"/>
              <w:left w:val="single" w:sz="6" w:space="0" w:color="FFFFFF"/>
              <w:bottom w:val="single" w:sz="6" w:space="0" w:color="FFFFFF"/>
              <w:right w:val="single" w:sz="6" w:space="0" w:color="FFFFFF"/>
            </w:tcBorders>
          </w:tcPr>
          <w:p w14:paraId="6E0DAF0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787DFE8" w14:textId="77777777" w:rsidR="006D15F7" w:rsidRPr="006B2E8B" w:rsidRDefault="006D15F7">
      <w:pPr>
        <w:pStyle w:val="ctext"/>
        <w:numPr>
          <w:ilvl w:val="12"/>
          <w:numId w:val="0"/>
        </w:numPr>
        <w:ind w:left="360"/>
      </w:pPr>
      <w:r w:rsidRPr="006B2E8B">
        <w:t>Family planning visits are considered encounters for determining an FQHC’s cost per encounter, but the family planning visit benefit limit is separate from the FQHC encounter benefit limit.</w:t>
      </w:r>
    </w:p>
    <w:p w14:paraId="72A59F65" w14:textId="77777777" w:rsidR="006D15F7" w:rsidRPr="006B2E8B" w:rsidRDefault="004C7797" w:rsidP="004C7797">
      <w:pPr>
        <w:pStyle w:val="CLETTERED"/>
      </w:pPr>
      <w:r w:rsidRPr="006B2E8B">
        <w:t>A.</w:t>
      </w:r>
      <w:r w:rsidRPr="006B2E8B">
        <w:tab/>
      </w:r>
      <w:r w:rsidR="006D15F7" w:rsidRPr="006B2E8B">
        <w:t>Medicaid has established a benefit limit of one basic family planning visit per state fiscal year (SFY).</w:t>
      </w:r>
    </w:p>
    <w:p w14:paraId="56E0D6E8" w14:textId="77777777" w:rsidR="006D15F7" w:rsidRPr="006B2E8B" w:rsidRDefault="004C7797" w:rsidP="004C7797">
      <w:pPr>
        <w:pStyle w:val="CLETTERED"/>
      </w:pPr>
      <w:r w:rsidRPr="006B2E8B">
        <w:t>B.</w:t>
      </w:r>
      <w:r w:rsidRPr="006B2E8B">
        <w:tab/>
      </w:r>
      <w:r w:rsidR="006D15F7" w:rsidRPr="006B2E8B">
        <w:t xml:space="preserve">Medicaid has established a benefit limit </w:t>
      </w:r>
      <w:proofErr w:type="gramStart"/>
      <w:r w:rsidR="006D15F7" w:rsidRPr="006B2E8B">
        <w:t>of</w:t>
      </w:r>
      <w:proofErr w:type="gramEnd"/>
      <w:r w:rsidR="006D15F7" w:rsidRPr="006B2E8B">
        <w:t xml:space="preserve"> three periodic family planning visits per SFY.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2CB1" w:rsidRPr="006B2E8B" w14:paraId="4E936269"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0AA16DCF" w14:textId="77777777" w:rsidR="00392CB1" w:rsidRPr="006B2E8B" w:rsidRDefault="00392CB1" w:rsidP="00392CB1">
            <w:pPr>
              <w:pStyle w:val="chead2"/>
              <w:numPr>
                <w:ilvl w:val="12"/>
                <w:numId w:val="0"/>
              </w:numPr>
              <w:ind w:left="1440" w:hanging="1440"/>
            </w:pPr>
            <w:bookmarkStart w:id="104" w:name="_Toc40064405"/>
            <w:bookmarkStart w:id="105" w:name="_Toc202162637"/>
            <w:r w:rsidRPr="006B2E8B">
              <w:t>220.120</w:t>
            </w:r>
            <w:r w:rsidRPr="006B2E8B">
              <w:tab/>
              <w:t>Implantable Contraceptive Capsules Benefit Limit</w:t>
            </w:r>
            <w:bookmarkEnd w:id="104"/>
            <w:bookmarkEnd w:id="105"/>
          </w:p>
        </w:tc>
        <w:tc>
          <w:tcPr>
            <w:tcW w:w="1238" w:type="dxa"/>
            <w:tcBorders>
              <w:top w:val="single" w:sz="6" w:space="0" w:color="FFFFFF"/>
              <w:left w:val="single" w:sz="6" w:space="0" w:color="FFFFFF"/>
              <w:bottom w:val="single" w:sz="6" w:space="0" w:color="FFFFFF"/>
              <w:right w:val="single" w:sz="6" w:space="0" w:color="FFFFFF"/>
            </w:tcBorders>
          </w:tcPr>
          <w:p w14:paraId="6DFE4469" w14:textId="77777777" w:rsidR="00392CB1" w:rsidRPr="006B2E8B" w:rsidRDefault="00392CB1" w:rsidP="00392CB1">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7333023" w14:textId="77777777" w:rsidR="00392CB1" w:rsidRPr="006B2E8B" w:rsidRDefault="00392CB1" w:rsidP="005404D5">
      <w:pPr>
        <w:pStyle w:val="CLETTERED"/>
      </w:pPr>
      <w:r w:rsidRPr="006B2E8B">
        <w:t>A.</w:t>
      </w:r>
      <w:r w:rsidRPr="006B2E8B">
        <w:tab/>
        <w:t>The benefit limit for an implantable contraceptive capsule (such as Norplant System) kit is two per five-year period per beneficiary.</w:t>
      </w:r>
    </w:p>
    <w:p w14:paraId="51CA67F6" w14:textId="77777777" w:rsidR="00392CB1" w:rsidRPr="006B2E8B" w:rsidRDefault="00392CB1" w:rsidP="00392CB1">
      <w:pPr>
        <w:pStyle w:val="CLETTERED"/>
      </w:pPr>
      <w:r w:rsidRPr="006B2E8B">
        <w:t>B.</w:t>
      </w:r>
      <w:r w:rsidRPr="006B2E8B">
        <w:tab/>
        <w:t>The benefit limit for removal of the kit is once within five years of the last implantation.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42E8E2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D031983" w14:textId="77777777" w:rsidR="006D15F7" w:rsidRPr="006B2E8B" w:rsidRDefault="006D15F7">
            <w:pPr>
              <w:pStyle w:val="chead2"/>
              <w:numPr>
                <w:ilvl w:val="12"/>
                <w:numId w:val="0"/>
              </w:numPr>
              <w:ind w:left="1440" w:hanging="1440"/>
            </w:pPr>
            <w:bookmarkStart w:id="106" w:name="_Toc40064406"/>
            <w:bookmarkStart w:id="107" w:name="_Toc202162638"/>
            <w:r w:rsidRPr="006B2E8B">
              <w:t>220.130</w:t>
            </w:r>
            <w:r w:rsidRPr="006B2E8B">
              <w:tab/>
              <w:t>Intrauterine Device (IUD)</w:t>
            </w:r>
            <w:bookmarkEnd w:id="106"/>
            <w:bookmarkEnd w:id="107"/>
          </w:p>
        </w:tc>
        <w:tc>
          <w:tcPr>
            <w:tcW w:w="1238" w:type="dxa"/>
            <w:tcBorders>
              <w:top w:val="single" w:sz="6" w:space="0" w:color="FFFFFF"/>
              <w:left w:val="single" w:sz="6" w:space="0" w:color="FFFFFF"/>
              <w:bottom w:val="single" w:sz="6" w:space="0" w:color="FFFFFF"/>
              <w:right w:val="single" w:sz="6" w:space="0" w:color="FFFFFF"/>
            </w:tcBorders>
          </w:tcPr>
          <w:p w14:paraId="5AF6ABE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910F71D" w14:textId="77777777" w:rsidR="006D15F7" w:rsidRPr="006B2E8B" w:rsidRDefault="006D15F7">
      <w:pPr>
        <w:pStyle w:val="ctext"/>
        <w:numPr>
          <w:ilvl w:val="12"/>
          <w:numId w:val="0"/>
        </w:numPr>
        <w:ind w:left="360"/>
      </w:pPr>
      <w:r w:rsidRPr="006B2E8B">
        <w:lastRenderedPageBreak/>
        <w:t>There are no benefit limits on IUDs, IUD removals or IUD insertions.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90E5D8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AE4F82A" w14:textId="77777777" w:rsidR="006D15F7" w:rsidRPr="006B2E8B" w:rsidRDefault="006D15F7">
            <w:pPr>
              <w:pStyle w:val="chead2"/>
              <w:numPr>
                <w:ilvl w:val="12"/>
                <w:numId w:val="0"/>
              </w:numPr>
              <w:ind w:left="1440" w:hanging="1440"/>
            </w:pPr>
            <w:bookmarkStart w:id="108" w:name="_Toc40064407"/>
            <w:bookmarkStart w:id="109" w:name="_Toc202162639"/>
            <w:r w:rsidRPr="006B2E8B">
              <w:t>220.140</w:t>
            </w:r>
            <w:r w:rsidRPr="006B2E8B">
              <w:tab/>
              <w:t>Sterilization</w:t>
            </w:r>
            <w:bookmarkEnd w:id="108"/>
            <w:bookmarkEnd w:id="109"/>
          </w:p>
        </w:tc>
        <w:tc>
          <w:tcPr>
            <w:tcW w:w="1238" w:type="dxa"/>
            <w:tcBorders>
              <w:top w:val="single" w:sz="6" w:space="0" w:color="FFFFFF"/>
              <w:left w:val="single" w:sz="6" w:space="0" w:color="FFFFFF"/>
              <w:bottom w:val="single" w:sz="6" w:space="0" w:color="FFFFFF"/>
              <w:right w:val="single" w:sz="6" w:space="0" w:color="FFFFFF"/>
            </w:tcBorders>
          </w:tcPr>
          <w:p w14:paraId="2D113AE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725FBAD" w14:textId="77777777" w:rsidR="006D15F7" w:rsidRPr="006B2E8B" w:rsidRDefault="004C7797" w:rsidP="004C7797">
      <w:pPr>
        <w:pStyle w:val="CLETTERED"/>
      </w:pPr>
      <w:r w:rsidRPr="006B2E8B">
        <w:t>A.</w:t>
      </w:r>
      <w:r w:rsidRPr="006B2E8B">
        <w:tab/>
      </w:r>
      <w:r w:rsidR="006D15F7" w:rsidRPr="006B2E8B">
        <w:t xml:space="preserve">There is a once-in-a-lifetime benefit limit on sterilization procedures, but DMS may authorize a second sterilization procedure in the rare occurrence of </w:t>
      </w:r>
      <w:proofErr w:type="gramStart"/>
      <w:r w:rsidR="006D15F7" w:rsidRPr="006B2E8B">
        <w:t>a failure</w:t>
      </w:r>
      <w:proofErr w:type="gramEnd"/>
      <w:r w:rsidR="006D15F7" w:rsidRPr="006B2E8B">
        <w:t>.</w:t>
      </w:r>
    </w:p>
    <w:p w14:paraId="5734DF35" w14:textId="77777777" w:rsidR="006D15F7" w:rsidRPr="006B2E8B" w:rsidRDefault="004C7797" w:rsidP="004C7797">
      <w:pPr>
        <w:pStyle w:val="CLETTERED"/>
      </w:pPr>
      <w:r w:rsidRPr="006B2E8B">
        <w:t>B.</w:t>
      </w:r>
      <w:r w:rsidRPr="006B2E8B">
        <w:tab/>
      </w:r>
      <w:r w:rsidR="006D15F7" w:rsidRPr="006B2E8B">
        <w:t xml:space="preserve">Medicaid does not cover procedures </w:t>
      </w:r>
      <w:proofErr w:type="gramStart"/>
      <w:r w:rsidR="006D15F7" w:rsidRPr="006B2E8B">
        <w:t>to</w:t>
      </w:r>
      <w:proofErr w:type="gramEnd"/>
      <w:r w:rsidR="006D15F7" w:rsidRPr="006B2E8B">
        <w:t xml:space="preserve"> reverse sterilizations.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CC98B35" w14:textId="77777777" w:rsidTr="00E45C01">
        <w:trPr>
          <w:cantSplit/>
        </w:trPr>
        <w:tc>
          <w:tcPr>
            <w:tcW w:w="8122" w:type="dxa"/>
            <w:tcBorders>
              <w:top w:val="single" w:sz="6" w:space="0" w:color="FFFFFF"/>
              <w:left w:val="single" w:sz="6" w:space="0" w:color="FFFFFF"/>
              <w:bottom w:val="single" w:sz="6" w:space="0" w:color="FFFFFF"/>
              <w:right w:val="single" w:sz="6" w:space="0" w:color="FFFFFF"/>
            </w:tcBorders>
          </w:tcPr>
          <w:p w14:paraId="2263D969" w14:textId="77777777" w:rsidR="006D15F7" w:rsidRPr="006B2E8B" w:rsidRDefault="006D15F7">
            <w:pPr>
              <w:pStyle w:val="chead2"/>
              <w:numPr>
                <w:ilvl w:val="12"/>
                <w:numId w:val="0"/>
              </w:numPr>
              <w:ind w:left="1440" w:hanging="1440"/>
            </w:pPr>
            <w:bookmarkStart w:id="110" w:name="_Toc40064408"/>
            <w:bookmarkStart w:id="111" w:name="_Toc202162640"/>
            <w:r w:rsidRPr="006B2E8B">
              <w:t>220.150</w:t>
            </w:r>
            <w:r w:rsidRPr="006B2E8B">
              <w:tab/>
            </w:r>
            <w:r w:rsidR="000C47AA" w:rsidRPr="006B2E8B">
              <w:t>Reserved</w:t>
            </w:r>
            <w:bookmarkEnd w:id="110"/>
            <w:bookmarkEnd w:id="111"/>
          </w:p>
        </w:tc>
        <w:tc>
          <w:tcPr>
            <w:tcW w:w="1238" w:type="dxa"/>
            <w:tcBorders>
              <w:top w:val="single" w:sz="6" w:space="0" w:color="FFFFFF"/>
              <w:left w:val="single" w:sz="6" w:space="0" w:color="FFFFFF"/>
              <w:bottom w:val="single" w:sz="6" w:space="0" w:color="FFFFFF"/>
              <w:right w:val="single" w:sz="6" w:space="0" w:color="FFFFFF"/>
            </w:tcBorders>
          </w:tcPr>
          <w:p w14:paraId="6B984CDC" w14:textId="77777777" w:rsidR="006D15F7" w:rsidRPr="006B2E8B" w:rsidRDefault="006D15F7" w:rsidP="000C47AA">
            <w:pPr>
              <w:pStyle w:val="cDate2"/>
              <w:numPr>
                <w:ilvl w:val="12"/>
                <w:numId w:val="0"/>
              </w:numPr>
            </w:pPr>
            <w:r w:rsidRPr="006B2E8B">
              <w:t>1</w:t>
            </w:r>
            <w:r w:rsidR="000C47AA" w:rsidRPr="006B2E8B">
              <w:t>2</w:t>
            </w:r>
            <w:r w:rsidRPr="006B2E8B">
              <w:t>-1</w:t>
            </w:r>
            <w:r w:rsidR="000C47AA" w:rsidRPr="006B2E8B">
              <w:t>8</w:t>
            </w:r>
            <w:r w:rsidRPr="006B2E8B">
              <w:t>-</w:t>
            </w:r>
            <w:r w:rsidR="000C47AA" w:rsidRPr="006B2E8B">
              <w:t>15</w:t>
            </w:r>
          </w:p>
        </w:tc>
      </w:tr>
      <w:tr w:rsidR="00B42BF1" w:rsidRPr="006B2E8B" w14:paraId="5FBCD83F" w14:textId="77777777" w:rsidTr="00E45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6AEE50AF" w14:textId="77777777" w:rsidR="00B42BF1" w:rsidRPr="006B2E8B" w:rsidRDefault="00B42BF1" w:rsidP="006B579B">
            <w:pPr>
              <w:pStyle w:val="chead2"/>
              <w:numPr>
                <w:ilvl w:val="12"/>
                <w:numId w:val="0"/>
              </w:numPr>
              <w:ind w:left="1440" w:hanging="1440"/>
            </w:pPr>
            <w:bookmarkStart w:id="112" w:name="_Toc40064409"/>
            <w:bookmarkStart w:id="113" w:name="_Toc380651681"/>
            <w:bookmarkStart w:id="114" w:name="_Toc202162641"/>
            <w:r w:rsidRPr="006B2E8B">
              <w:t>220.200</w:t>
            </w:r>
            <w:r w:rsidRPr="006B2E8B">
              <w:tab/>
              <w:t>Extension of Benefits</w:t>
            </w:r>
            <w:bookmarkEnd w:id="112"/>
            <w:bookmarkEnd w:id="113"/>
            <w:bookmarkEnd w:id="114"/>
          </w:p>
        </w:tc>
        <w:tc>
          <w:tcPr>
            <w:tcW w:w="1238" w:type="dxa"/>
            <w:tcBorders>
              <w:top w:val="single" w:sz="2" w:space="0" w:color="FFFFFF"/>
              <w:left w:val="single" w:sz="6" w:space="0" w:color="FFFFFF"/>
              <w:bottom w:val="single" w:sz="2" w:space="0" w:color="FFFFFF"/>
              <w:right w:val="single" w:sz="2" w:space="0" w:color="FFFFFF"/>
            </w:tcBorders>
          </w:tcPr>
          <w:p w14:paraId="539A4102" w14:textId="77777777" w:rsidR="00B42BF1" w:rsidRPr="006B2E8B" w:rsidRDefault="00CF6CFF" w:rsidP="006B579B">
            <w:pPr>
              <w:pStyle w:val="cDate2"/>
              <w:numPr>
                <w:ilvl w:val="12"/>
                <w:numId w:val="0"/>
              </w:numPr>
            </w:pPr>
            <w:r w:rsidRPr="006B2E8B">
              <w:t>9-1-20</w:t>
            </w:r>
          </w:p>
        </w:tc>
      </w:tr>
    </w:tbl>
    <w:p w14:paraId="6AC0BFA7" w14:textId="77777777" w:rsidR="00CF6CFF" w:rsidRPr="006B2E8B" w:rsidRDefault="00CF6CFF" w:rsidP="00CF6CFF">
      <w:pPr>
        <w:pStyle w:val="CLETTERED"/>
      </w:pPr>
      <w:r w:rsidRPr="006B2E8B">
        <w:t>A.</w:t>
      </w:r>
      <w:r w:rsidRPr="006B2E8B">
        <w:tab/>
        <w:t>Extensions of family planning benefits are not available.</w:t>
      </w:r>
    </w:p>
    <w:p w14:paraId="7F85508A" w14:textId="77777777" w:rsidR="00CF6CFF" w:rsidRPr="006B2E8B" w:rsidRDefault="00CF6CFF" w:rsidP="00CF6CFF">
      <w:pPr>
        <w:pStyle w:val="CLETTERED"/>
      </w:pPr>
      <w:r w:rsidRPr="006B2E8B">
        <w:t>B.</w:t>
      </w:r>
      <w:r w:rsidRPr="006B2E8B">
        <w:tab/>
        <w:t>Extensions of the FQHC core service encounter benefit are automatic for the following diagnoses:</w:t>
      </w:r>
    </w:p>
    <w:p w14:paraId="386FCD66" w14:textId="77777777" w:rsidR="00CF6CFF" w:rsidRPr="006B2E8B" w:rsidRDefault="00CF6CFF" w:rsidP="00CF6CFF">
      <w:pPr>
        <w:pStyle w:val="cnumbered"/>
        <w:rPr>
          <w:lang w:val="fr-CA"/>
        </w:rPr>
      </w:pPr>
      <w:r w:rsidRPr="006B2E8B">
        <w:rPr>
          <w:lang w:val="fr-CA"/>
        </w:rPr>
        <w:t>1.</w:t>
      </w:r>
      <w:r w:rsidRPr="006B2E8B">
        <w:rPr>
          <w:lang w:val="fr-CA"/>
        </w:rPr>
        <w:tab/>
      </w:r>
      <w:proofErr w:type="spellStart"/>
      <w:r w:rsidRPr="006B2E8B">
        <w:rPr>
          <w:lang w:val="fr-CA"/>
        </w:rPr>
        <w:t>Malignant</w:t>
      </w:r>
      <w:proofErr w:type="spellEnd"/>
      <w:r w:rsidRPr="006B2E8B">
        <w:rPr>
          <w:lang w:val="fr-CA"/>
        </w:rPr>
        <w:t xml:space="preserve"> </w:t>
      </w:r>
      <w:proofErr w:type="spellStart"/>
      <w:r w:rsidRPr="006B2E8B">
        <w:rPr>
          <w:lang w:val="fr-CA"/>
        </w:rPr>
        <w:t>Neoplasm</w:t>
      </w:r>
      <w:proofErr w:type="spellEnd"/>
      <w:r w:rsidRPr="006B2E8B">
        <w:rPr>
          <w:lang w:val="fr-CA"/>
        </w:rPr>
        <w:t xml:space="preserve"> (</w:t>
      </w:r>
      <w:hyperlink r:id="rId24" w:history="1">
        <w:r w:rsidRPr="006B2E8B">
          <w:rPr>
            <w:rStyle w:val="Hyperlink"/>
          </w:rPr>
          <w:t>View ICD codes.</w:t>
        </w:r>
      </w:hyperlink>
      <w:r w:rsidRPr="006B2E8B">
        <w:rPr>
          <w:lang w:val="fr-CA"/>
        </w:rPr>
        <w:t>)</w:t>
      </w:r>
    </w:p>
    <w:p w14:paraId="342780EC" w14:textId="77777777" w:rsidR="00CF6CFF" w:rsidRPr="006B2E8B" w:rsidRDefault="00CF6CFF" w:rsidP="00CF6CFF">
      <w:pPr>
        <w:pStyle w:val="cnumbered"/>
      </w:pPr>
      <w:r w:rsidRPr="006B2E8B">
        <w:t>2.</w:t>
      </w:r>
      <w:r w:rsidRPr="006B2E8B">
        <w:tab/>
        <w:t>HIV Infection and AIDS (</w:t>
      </w:r>
      <w:hyperlink r:id="rId25" w:history="1">
        <w:r w:rsidRPr="006B2E8B">
          <w:rPr>
            <w:rStyle w:val="Hyperlink"/>
          </w:rPr>
          <w:t>View ICD codes.</w:t>
        </w:r>
      </w:hyperlink>
      <w:r w:rsidRPr="006B2E8B">
        <w:t xml:space="preserve">) </w:t>
      </w:r>
    </w:p>
    <w:p w14:paraId="6A89A06B" w14:textId="77777777" w:rsidR="00CF6CFF" w:rsidRPr="006B2E8B" w:rsidRDefault="00CF6CFF" w:rsidP="00CF6CFF">
      <w:pPr>
        <w:pStyle w:val="cnumbered"/>
        <w:rPr>
          <w:lang w:val="fr-CA"/>
        </w:rPr>
      </w:pPr>
      <w:r w:rsidRPr="006B2E8B">
        <w:rPr>
          <w:lang w:val="fr-CA"/>
        </w:rPr>
        <w:t>3.</w:t>
      </w:r>
      <w:r w:rsidRPr="006B2E8B">
        <w:rPr>
          <w:lang w:val="fr-CA"/>
        </w:rPr>
        <w:tab/>
      </w:r>
      <w:proofErr w:type="spellStart"/>
      <w:r w:rsidRPr="006B2E8B">
        <w:rPr>
          <w:lang w:val="fr-CA"/>
        </w:rPr>
        <w:t>Renal</w:t>
      </w:r>
      <w:proofErr w:type="spellEnd"/>
      <w:r w:rsidRPr="006B2E8B">
        <w:rPr>
          <w:lang w:val="fr-CA"/>
        </w:rPr>
        <w:t xml:space="preserve"> Failure (</w:t>
      </w:r>
      <w:hyperlink r:id="rId26" w:history="1">
        <w:r w:rsidRPr="006B2E8B">
          <w:rPr>
            <w:rStyle w:val="Hyperlink"/>
          </w:rPr>
          <w:t>View ICD codes.</w:t>
        </w:r>
      </w:hyperlink>
      <w:r w:rsidRPr="006B2E8B">
        <w:rPr>
          <w:lang w:val="fr-CA"/>
        </w:rPr>
        <w:t>)</w:t>
      </w:r>
    </w:p>
    <w:p w14:paraId="3CDC1C09" w14:textId="2BCCF29C" w:rsidR="009D47DA" w:rsidRPr="006B2E8B" w:rsidRDefault="00CF6CFF" w:rsidP="00CF6CFF">
      <w:pPr>
        <w:pStyle w:val="cnumbered"/>
        <w:rPr>
          <w:lang w:val="fr-CA"/>
        </w:rPr>
      </w:pPr>
      <w:r w:rsidRPr="006B2E8B">
        <w:rPr>
          <w:lang w:val="fr-CA"/>
        </w:rPr>
        <w:t xml:space="preserve">4. </w:t>
      </w:r>
      <w:r w:rsidRPr="006B2E8B">
        <w:rPr>
          <w:lang w:val="fr-CA"/>
        </w:rPr>
        <w:tab/>
      </w:r>
      <w:proofErr w:type="spellStart"/>
      <w:r w:rsidRPr="006B2E8B">
        <w:rPr>
          <w:lang w:val="fr-CA"/>
        </w:rPr>
        <w:t>Opioid</w:t>
      </w:r>
      <w:proofErr w:type="spellEnd"/>
      <w:r w:rsidRPr="006B2E8B">
        <w:rPr>
          <w:lang w:val="fr-CA"/>
        </w:rPr>
        <w:t xml:space="preserve"> Use </w:t>
      </w:r>
      <w:proofErr w:type="spellStart"/>
      <w:r w:rsidRPr="006B2E8B">
        <w:rPr>
          <w:lang w:val="fr-CA"/>
        </w:rPr>
        <w:t>Disorder</w:t>
      </w:r>
      <w:proofErr w:type="spellEnd"/>
      <w:r w:rsidRPr="006B2E8B">
        <w:rPr>
          <w:lang w:val="fr-CA"/>
        </w:rPr>
        <w:t xml:space="preserve"> </w:t>
      </w:r>
      <w:proofErr w:type="spellStart"/>
      <w:r w:rsidRPr="006B2E8B">
        <w:rPr>
          <w:lang w:val="fr-CA"/>
        </w:rPr>
        <w:t>when</w:t>
      </w:r>
      <w:proofErr w:type="spellEnd"/>
      <w:r w:rsidRPr="006B2E8B">
        <w:rPr>
          <w:lang w:val="fr-CA"/>
        </w:rPr>
        <w:t xml:space="preserve"> </w:t>
      </w:r>
      <w:proofErr w:type="spellStart"/>
      <w:r w:rsidRPr="006B2E8B">
        <w:rPr>
          <w:lang w:val="fr-CA"/>
        </w:rPr>
        <w:t>treated</w:t>
      </w:r>
      <w:proofErr w:type="spellEnd"/>
      <w:r w:rsidRPr="006B2E8B">
        <w:rPr>
          <w:lang w:val="fr-CA"/>
        </w:rPr>
        <w:t xml:space="preserve"> </w:t>
      </w:r>
      <w:proofErr w:type="spellStart"/>
      <w:r w:rsidRPr="006B2E8B">
        <w:rPr>
          <w:lang w:val="fr-CA"/>
        </w:rPr>
        <w:t>with</w:t>
      </w:r>
      <w:proofErr w:type="spellEnd"/>
      <w:r w:rsidRPr="006B2E8B">
        <w:rPr>
          <w:lang w:val="fr-CA"/>
        </w:rPr>
        <w:t xml:space="preserve"> MAT</w:t>
      </w:r>
      <w:r w:rsidRPr="006B2E8B">
        <w:t xml:space="preserve"> (</w:t>
      </w:r>
      <w:hyperlink r:id="rId27" w:history="1">
        <w:r w:rsidR="00D61E7C" w:rsidRPr="006B2E8B">
          <w:rPr>
            <w:rStyle w:val="Hyperlink"/>
          </w:rPr>
          <w:t>View ICD OUD Codes</w:t>
        </w:r>
      </w:hyperlink>
      <w:r w:rsidRPr="006B2E8B">
        <w:rPr>
          <w:lang w:val="fr-CA"/>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75B5DB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32C6613" w14:textId="77777777" w:rsidR="006D15F7" w:rsidRPr="006B2E8B" w:rsidRDefault="006D15F7" w:rsidP="006D15F7">
            <w:pPr>
              <w:pStyle w:val="chead2"/>
              <w:numPr>
                <w:ilvl w:val="12"/>
                <w:numId w:val="0"/>
              </w:numPr>
              <w:ind w:left="1440" w:hanging="1440"/>
            </w:pPr>
            <w:bookmarkStart w:id="115" w:name="_Toc202162642"/>
            <w:r w:rsidRPr="006B2E8B">
              <w:t>220.201</w:t>
            </w:r>
            <w:r w:rsidRPr="006B2E8B">
              <w:tab/>
              <w:t>Benefit Extension Requests</w:t>
            </w:r>
            <w:bookmarkEnd w:id="115"/>
          </w:p>
        </w:tc>
        <w:tc>
          <w:tcPr>
            <w:tcW w:w="1238" w:type="dxa"/>
            <w:tcBorders>
              <w:top w:val="single" w:sz="6" w:space="0" w:color="FFFFFF"/>
              <w:left w:val="single" w:sz="6" w:space="0" w:color="FFFFFF"/>
              <w:bottom w:val="single" w:sz="6" w:space="0" w:color="FFFFFF"/>
              <w:right w:val="single" w:sz="6" w:space="0" w:color="FFFFFF"/>
            </w:tcBorders>
          </w:tcPr>
          <w:p w14:paraId="3954DAD1" w14:textId="77777777" w:rsidR="006D15F7" w:rsidRPr="006B2E8B" w:rsidRDefault="008173D5" w:rsidP="006D15F7">
            <w:pPr>
              <w:pStyle w:val="cDate2"/>
              <w:numPr>
                <w:ilvl w:val="12"/>
                <w:numId w:val="0"/>
              </w:numPr>
            </w:pPr>
            <w:r w:rsidRPr="006B2E8B">
              <w:t>8-1-21</w:t>
            </w:r>
          </w:p>
        </w:tc>
      </w:tr>
    </w:tbl>
    <w:p w14:paraId="57261A01" w14:textId="6E03001F" w:rsidR="008173D5" w:rsidRPr="006B2E8B" w:rsidRDefault="008173D5" w:rsidP="008173D5">
      <w:pPr>
        <w:pStyle w:val="CLETTERED"/>
      </w:pPr>
      <w:r w:rsidRPr="006B2E8B">
        <w:t>A.</w:t>
      </w:r>
      <w:r w:rsidRPr="006B2E8B">
        <w:tab/>
        <w:t xml:space="preserve">Requests to extend the FQHC core service encounter benefit must be submitted to DHS or its designated vendor.  </w:t>
      </w:r>
      <w:hyperlink r:id="rId28" w:history="1">
        <w:r w:rsidRPr="006B2E8B">
          <w:rPr>
            <w:rStyle w:val="Hyperlink"/>
          </w:rPr>
          <w:t>View or print contact information to obtain the DHS or designated vendor step-by-step process for requesting extension of inpatient days.</w:t>
        </w:r>
      </w:hyperlink>
    </w:p>
    <w:p w14:paraId="6BC075DF" w14:textId="77777777" w:rsidR="008173D5" w:rsidRPr="006B2E8B" w:rsidRDefault="008173D5" w:rsidP="008173D5">
      <w:pPr>
        <w:pStyle w:val="CLETTERED"/>
      </w:pPr>
      <w:r w:rsidRPr="006B2E8B">
        <w:tab/>
        <w:t>Benefit extension requests are considered only after a claim has been filed and denied because the benefit is exhausted.</w:t>
      </w:r>
    </w:p>
    <w:p w14:paraId="5176E03A" w14:textId="77777777" w:rsidR="008173D5" w:rsidRPr="006B2E8B" w:rsidRDefault="008173D5" w:rsidP="008173D5">
      <w:pPr>
        <w:pStyle w:val="CLETTERED"/>
      </w:pPr>
      <w:r w:rsidRPr="006B2E8B">
        <w:t>B.</w:t>
      </w:r>
      <w:r w:rsidRPr="006B2E8B">
        <w:tab/>
        <w:t>Submit with the request a copy of the Medical Assistance Remittance and Status Report reflecting the claim’s denial for exhausted benefits.  Do not send a claim.</w:t>
      </w:r>
    </w:p>
    <w:p w14:paraId="5884E06B" w14:textId="77777777" w:rsidR="008173D5" w:rsidRPr="006B2E8B" w:rsidRDefault="008173D5" w:rsidP="008173D5">
      <w:pPr>
        <w:pStyle w:val="CLETTERED"/>
      </w:pPr>
      <w:r w:rsidRPr="006B2E8B">
        <w:t>C.</w:t>
      </w:r>
      <w:r w:rsidRPr="006B2E8B">
        <w:tab/>
        <w:t>A benefit extension request must be received within ninety (90) calendar days of the date of the benefits-exhausted denial.</w:t>
      </w:r>
    </w:p>
    <w:p w14:paraId="7CA2506B" w14:textId="77777777" w:rsidR="008173D5" w:rsidRPr="006B2E8B" w:rsidRDefault="008173D5" w:rsidP="008173D5">
      <w:pPr>
        <w:pStyle w:val="CLETTERED"/>
      </w:pPr>
      <w:r w:rsidRPr="006B2E8B">
        <w:t>D.</w:t>
      </w:r>
      <w:r w:rsidRPr="006B2E8B">
        <w:tab/>
        <w:t xml:space="preserve">Additional information shall be requested when needed to process a benefit extension request.  Failures to provide requested additional information within the specified timeline will result in technical denials. Reconsideration </w:t>
      </w:r>
      <w:proofErr w:type="gramStart"/>
      <w:r w:rsidRPr="006B2E8B">
        <w:t>are</w:t>
      </w:r>
      <w:proofErr w:type="gramEnd"/>
      <w:r w:rsidRPr="006B2E8B">
        <w:t xml:space="preserve"> </w:t>
      </w:r>
      <w:proofErr w:type="gramStart"/>
      <w:r w:rsidRPr="006B2E8B">
        <w:t>no</w:t>
      </w:r>
      <w:proofErr w:type="gramEnd"/>
      <w:r w:rsidRPr="006B2E8B">
        <w:t xml:space="preserve"> available.</w:t>
      </w:r>
    </w:p>
    <w:p w14:paraId="79F41A1F" w14:textId="77777777" w:rsidR="006D15F7" w:rsidRPr="006B2E8B" w:rsidRDefault="008173D5" w:rsidP="008173D5">
      <w:pPr>
        <w:pStyle w:val="CLETTERED"/>
      </w:pPr>
      <w:r w:rsidRPr="006B2E8B">
        <w:t>E.</w:t>
      </w:r>
      <w:r w:rsidRPr="006B2E8B">
        <w:tab/>
        <w:t>Correspondence regarding benefit extension requests and requests for reconsideration of denied benefit extension requests does not constitute documentation or proof of timely claim filing.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D47DA" w:rsidRPr="006B2E8B" w14:paraId="16A73D93" w14:textId="77777777" w:rsidTr="008D1BB2">
        <w:trPr>
          <w:cantSplit/>
        </w:trPr>
        <w:tc>
          <w:tcPr>
            <w:tcW w:w="8122" w:type="dxa"/>
            <w:tcBorders>
              <w:top w:val="single" w:sz="2" w:space="0" w:color="FFFFFF"/>
              <w:left w:val="single" w:sz="2" w:space="0" w:color="FFFFFF"/>
              <w:bottom w:val="single" w:sz="2" w:space="0" w:color="FFFFFF"/>
              <w:right w:val="single" w:sz="6" w:space="0" w:color="FFFFFF"/>
            </w:tcBorders>
          </w:tcPr>
          <w:p w14:paraId="249AFDD7" w14:textId="77777777" w:rsidR="009D47DA" w:rsidRPr="006B2E8B" w:rsidRDefault="009D47DA" w:rsidP="008D1BB2">
            <w:pPr>
              <w:pStyle w:val="chead2"/>
              <w:numPr>
                <w:ilvl w:val="12"/>
                <w:numId w:val="0"/>
              </w:numPr>
              <w:ind w:left="1440" w:hanging="1440"/>
            </w:pPr>
            <w:bookmarkStart w:id="116" w:name="_Toc202162643"/>
            <w:r w:rsidRPr="006B2E8B">
              <w:t>220.202</w:t>
            </w:r>
            <w:r w:rsidRPr="006B2E8B">
              <w:tab/>
            </w:r>
            <w:r w:rsidR="00EF231F" w:rsidRPr="006B2E8B">
              <w:t xml:space="preserve">Request for Extension of Benefits for Clinical, Outpatient, Diagnostic Laboratory, and Radiology/Other Services, </w:t>
            </w:r>
            <w:r w:rsidR="00EF231F" w:rsidRPr="006B2E8B">
              <w:br/>
              <w:t>Form DMS-671</w:t>
            </w:r>
            <w:bookmarkEnd w:id="116"/>
          </w:p>
        </w:tc>
        <w:tc>
          <w:tcPr>
            <w:tcW w:w="1238" w:type="dxa"/>
            <w:tcBorders>
              <w:top w:val="single" w:sz="2" w:space="0" w:color="FFFFFF"/>
              <w:left w:val="single" w:sz="6" w:space="0" w:color="FFFFFF"/>
              <w:bottom w:val="single" w:sz="2" w:space="0" w:color="FFFFFF"/>
              <w:right w:val="single" w:sz="2" w:space="0" w:color="FFFFFF"/>
            </w:tcBorders>
          </w:tcPr>
          <w:p w14:paraId="6908EE34" w14:textId="77777777" w:rsidR="009D47DA" w:rsidRPr="006B2E8B" w:rsidRDefault="00EF231F" w:rsidP="008D1BB2">
            <w:pPr>
              <w:pStyle w:val="cDate2"/>
              <w:numPr>
                <w:ilvl w:val="12"/>
                <w:numId w:val="0"/>
              </w:numPr>
            </w:pPr>
            <w:r w:rsidRPr="006B2E8B">
              <w:t>7-1-22</w:t>
            </w:r>
          </w:p>
        </w:tc>
      </w:tr>
    </w:tbl>
    <w:p w14:paraId="28F1ED78" w14:textId="5E0649E0" w:rsidR="00EF231F" w:rsidRPr="006B2E8B" w:rsidRDefault="00EF231F" w:rsidP="00EF231F">
      <w:pPr>
        <w:pStyle w:val="CLETTERED"/>
      </w:pPr>
      <w:r w:rsidRPr="006B2E8B">
        <w:t>A.</w:t>
      </w:r>
      <w:r w:rsidRPr="006B2E8B">
        <w:tab/>
        <w:t xml:space="preserve">Benefit extension requests will be considered only when the provider has correctly completed all applicable fields of the “Request for Extension of Benefits for Clinical, Outpatient, Diagnostic Laboratory, and Radiology/Other Services” form (Form DMS-671). </w:t>
      </w:r>
      <w:hyperlink r:id="rId29" w:history="1">
        <w:r w:rsidRPr="006B2E8B">
          <w:rPr>
            <w:rStyle w:val="Hyperlink"/>
          </w:rPr>
          <w:t>View or print Form DMS</w:t>
        </w:r>
        <w:r w:rsidRPr="006B2E8B">
          <w:rPr>
            <w:rStyle w:val="Hyperlink"/>
          </w:rPr>
          <w:noBreakHyphen/>
          <w:t>671.</w:t>
        </w:r>
      </w:hyperlink>
    </w:p>
    <w:p w14:paraId="642FEFDB" w14:textId="77777777" w:rsidR="00EF231F" w:rsidRPr="006B2E8B" w:rsidRDefault="00EF231F" w:rsidP="00EF231F">
      <w:pPr>
        <w:pStyle w:val="CLETTERED"/>
      </w:pPr>
      <w:r w:rsidRPr="006B2E8B">
        <w:t>B.</w:t>
      </w:r>
      <w:r w:rsidRPr="006B2E8B">
        <w:tab/>
        <w:t xml:space="preserve">The date of the request, and the signature of the provider’s authorized representative, are required on the form.  </w:t>
      </w:r>
      <w:proofErr w:type="gramStart"/>
      <w:r w:rsidRPr="006B2E8B">
        <w:t>Stamped and</w:t>
      </w:r>
      <w:proofErr w:type="gramEnd"/>
      <w:r w:rsidRPr="006B2E8B">
        <w:t xml:space="preserve"> electronic signatures are accepted.</w:t>
      </w:r>
    </w:p>
    <w:p w14:paraId="1E11878B" w14:textId="77777777" w:rsidR="00EF231F" w:rsidRPr="006B2E8B" w:rsidRDefault="00EF231F" w:rsidP="00EF231F">
      <w:pPr>
        <w:pStyle w:val="CLETTERED"/>
      </w:pPr>
      <w:r w:rsidRPr="006B2E8B">
        <w:lastRenderedPageBreak/>
        <w:t>C.</w:t>
      </w:r>
      <w:r w:rsidRPr="006B2E8B">
        <w:tab/>
        <w:t>Dates of service must be listed in chronological order on Form DMS-671.  When requesting benefit extensions for more than four (4) encounters, use a separate form for each set of encounters.</w:t>
      </w:r>
    </w:p>
    <w:p w14:paraId="218990F3" w14:textId="77777777" w:rsidR="00EF231F" w:rsidRPr="006B2E8B" w:rsidRDefault="00EF231F" w:rsidP="00EF231F">
      <w:pPr>
        <w:pStyle w:val="CLETTERED"/>
      </w:pPr>
      <w:r w:rsidRPr="006B2E8B">
        <w:t>D.</w:t>
      </w:r>
      <w:r w:rsidRPr="006B2E8B">
        <w:tab/>
        <w:t>Enter a valid ICD diagnosis code and brief narrative description of the diagnosis.</w:t>
      </w:r>
    </w:p>
    <w:p w14:paraId="358A8F9F" w14:textId="77777777" w:rsidR="00EF231F" w:rsidRPr="006B2E8B" w:rsidRDefault="00EF231F" w:rsidP="00EF231F">
      <w:pPr>
        <w:pStyle w:val="CLETTERED"/>
      </w:pPr>
      <w:r w:rsidRPr="006B2E8B">
        <w:t>E.</w:t>
      </w:r>
      <w:r w:rsidRPr="006B2E8B">
        <w:tab/>
        <w:t>Enter the procedure code, modifier(s) (when applicable) and a brief narrative description of the procedure.</w:t>
      </w:r>
    </w:p>
    <w:p w14:paraId="1FB49C55" w14:textId="77777777" w:rsidR="006D15F7" w:rsidRPr="006B2E8B" w:rsidRDefault="00EF231F" w:rsidP="00EF231F">
      <w:pPr>
        <w:pStyle w:val="ctext"/>
      </w:pPr>
      <w:r w:rsidRPr="006B2E8B">
        <w:t>F.</w:t>
      </w:r>
      <w:r w:rsidRPr="006B2E8B">
        <w:tab/>
        <w:t>Enter the number of units (encounters) requested under the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D15F7" w:rsidRPr="006B2E8B" w14:paraId="6D1CD30C"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6EDE2CFC" w14:textId="77777777" w:rsidR="006D15F7" w:rsidRPr="006B2E8B" w:rsidRDefault="006D15F7" w:rsidP="006D15F7">
            <w:pPr>
              <w:pStyle w:val="chead2"/>
              <w:keepNext/>
            </w:pPr>
            <w:bookmarkStart w:id="117" w:name="_Toc202162644"/>
            <w:r w:rsidRPr="006B2E8B">
              <w:t>220.203</w:t>
            </w:r>
            <w:r w:rsidRPr="006B2E8B">
              <w:tab/>
              <w:t>Documentation Requirements</w:t>
            </w:r>
            <w:bookmarkEnd w:id="117"/>
          </w:p>
        </w:tc>
        <w:tc>
          <w:tcPr>
            <w:tcW w:w="1238" w:type="dxa"/>
            <w:tcBorders>
              <w:top w:val="single" w:sz="2" w:space="0" w:color="FFFFFF"/>
              <w:left w:val="single" w:sz="6" w:space="0" w:color="FFFFFF"/>
              <w:bottom w:val="single" w:sz="2" w:space="0" w:color="FFFFFF"/>
              <w:right w:val="single" w:sz="2" w:space="0" w:color="FFFFFF"/>
            </w:tcBorders>
          </w:tcPr>
          <w:p w14:paraId="5C70C405" w14:textId="77777777" w:rsidR="006D15F7" w:rsidRPr="006B2E8B" w:rsidRDefault="00EF231F" w:rsidP="006D15F7">
            <w:pPr>
              <w:pStyle w:val="cDate2"/>
              <w:keepNext/>
            </w:pPr>
            <w:r w:rsidRPr="006B2E8B">
              <w:rPr>
                <w:bCs/>
              </w:rPr>
              <w:t>7-1-22</w:t>
            </w:r>
          </w:p>
        </w:tc>
      </w:tr>
    </w:tbl>
    <w:p w14:paraId="05D96E65" w14:textId="77777777" w:rsidR="00EF231F" w:rsidRPr="006B2E8B" w:rsidRDefault="00EF231F" w:rsidP="00EF231F">
      <w:pPr>
        <w:pStyle w:val="CLETTERED"/>
      </w:pPr>
      <w:r w:rsidRPr="006B2E8B">
        <w:t>A.</w:t>
      </w:r>
      <w:r w:rsidRPr="006B2E8B">
        <w:tab/>
        <w:t>The Medicaid Program’s diagnostic laboratory services benefit limit and radiology/other services benefit limit each apply to the outpatient setting.</w:t>
      </w:r>
    </w:p>
    <w:p w14:paraId="016CD610" w14:textId="77777777" w:rsidR="00EF231F" w:rsidRPr="006B2E8B" w:rsidRDefault="00EF231F" w:rsidP="00EF231F">
      <w:pPr>
        <w:pStyle w:val="cnumbered"/>
      </w:pPr>
      <w:r w:rsidRPr="006B2E8B">
        <w:t>1.</w:t>
      </w:r>
      <w:r w:rsidRPr="006B2E8B">
        <w:tab/>
        <w:t>Diagnostic laboratory services benefits are limited to five hundred dollars ($500) per State Fiscal Year (SFY: July 1 through June 30), and radiology/other services benefits are limited to five hundred dollars ($500) per SFY.</w:t>
      </w:r>
    </w:p>
    <w:p w14:paraId="475CCE39" w14:textId="77777777" w:rsidR="00EF231F" w:rsidRPr="006B2E8B" w:rsidRDefault="00EF231F" w:rsidP="00EF231F">
      <w:pPr>
        <w:pStyle w:val="cnumbered"/>
      </w:pPr>
      <w:r w:rsidRPr="006B2E8B">
        <w:t>2.</w:t>
      </w:r>
      <w:r w:rsidRPr="006B2E8B">
        <w:tab/>
        <w:t>Radiology/other services include without limitation diagnostic X-rays, ultrasounds, and electronic monitoring/machine tests, such as electrocardiograms (ECG or EKG).</w:t>
      </w:r>
    </w:p>
    <w:p w14:paraId="4E603334" w14:textId="77777777" w:rsidR="00EF231F" w:rsidRPr="006B2E8B" w:rsidRDefault="00EF231F" w:rsidP="00EF231F">
      <w:pPr>
        <w:pStyle w:val="cnumbered"/>
      </w:pPr>
      <w:r w:rsidRPr="006B2E8B">
        <w:t>3.</w:t>
      </w:r>
      <w:r w:rsidRPr="006B2E8B">
        <w:tab/>
        <w:t>Diagnostic laboratory services and radiology/other services defined as Essential Health Benefits by the U.S. Preventive Services Task Force (USPSTF) are exempt from counting toward either of the two new annual caps.</w:t>
      </w:r>
    </w:p>
    <w:p w14:paraId="5B9936AB" w14:textId="32EF7897" w:rsidR="00EF231F" w:rsidRPr="006B2E8B" w:rsidRDefault="00EF231F" w:rsidP="00EF231F">
      <w:pPr>
        <w:pStyle w:val="cnumbered"/>
      </w:pPr>
      <w:hyperlink r:id="rId30" w:history="1">
        <w:r w:rsidRPr="006B2E8B">
          <w:rPr>
            <w:rStyle w:val="Hyperlink"/>
          </w:rPr>
          <w:t>View or print the essential health benefit procedure codes.</w:t>
        </w:r>
      </w:hyperlink>
    </w:p>
    <w:p w14:paraId="1FD323BA" w14:textId="77777777" w:rsidR="00EF231F" w:rsidRPr="006B2E8B" w:rsidRDefault="00EF231F" w:rsidP="00EF231F">
      <w:pPr>
        <w:pStyle w:val="CLETTERED"/>
      </w:pPr>
      <w:r w:rsidRPr="006B2E8B">
        <w:t>B.</w:t>
      </w:r>
      <w:r w:rsidRPr="006B2E8B">
        <w:tab/>
        <w:t>Records supporting the medical necessity of extended benefits must be submitted with benefit extension requests and requests for reconsideration of denied benefit extension requests.</w:t>
      </w:r>
    </w:p>
    <w:p w14:paraId="020E55BD" w14:textId="77777777" w:rsidR="00EF231F" w:rsidRPr="006B2E8B" w:rsidRDefault="00EF231F" w:rsidP="00EF231F">
      <w:pPr>
        <w:pStyle w:val="CLETTERED"/>
      </w:pPr>
      <w:r w:rsidRPr="006B2E8B">
        <w:t>C.</w:t>
      </w:r>
      <w:r w:rsidRPr="006B2E8B">
        <w:tab/>
        <w:t>Clinical records must:</w:t>
      </w:r>
    </w:p>
    <w:p w14:paraId="7AFBEBDA" w14:textId="77777777" w:rsidR="00EF231F" w:rsidRPr="006B2E8B" w:rsidRDefault="00EF231F" w:rsidP="00EF231F">
      <w:pPr>
        <w:pStyle w:val="cnumbered"/>
      </w:pPr>
      <w:r w:rsidRPr="006B2E8B">
        <w:t>1.</w:t>
      </w:r>
      <w:r w:rsidRPr="006B2E8B">
        <w:tab/>
        <w:t xml:space="preserve">Be legible and include records supporting the specific </w:t>
      </w:r>
      <w:proofErr w:type="gramStart"/>
      <w:r w:rsidRPr="006B2E8B">
        <w:t>request;</w:t>
      </w:r>
      <w:proofErr w:type="gramEnd"/>
    </w:p>
    <w:p w14:paraId="2D94133E" w14:textId="77777777" w:rsidR="00EF231F" w:rsidRPr="006B2E8B" w:rsidRDefault="00EF231F" w:rsidP="00EF231F">
      <w:pPr>
        <w:pStyle w:val="cnumbered"/>
      </w:pPr>
      <w:r w:rsidRPr="006B2E8B">
        <w:t>2.</w:t>
      </w:r>
      <w:r w:rsidRPr="006B2E8B">
        <w:tab/>
        <w:t xml:space="preserve">Be signed by the performing </w:t>
      </w:r>
      <w:proofErr w:type="gramStart"/>
      <w:r w:rsidRPr="006B2E8B">
        <w:t>provider;</w:t>
      </w:r>
      <w:proofErr w:type="gramEnd"/>
    </w:p>
    <w:p w14:paraId="24B30479" w14:textId="77777777" w:rsidR="00EF231F" w:rsidRPr="006B2E8B" w:rsidRDefault="00EF231F" w:rsidP="00EF231F">
      <w:pPr>
        <w:pStyle w:val="cnumbered"/>
      </w:pPr>
      <w:r w:rsidRPr="006B2E8B">
        <w:t>3.</w:t>
      </w:r>
      <w:r w:rsidRPr="006B2E8B">
        <w:tab/>
        <w:t xml:space="preserve">Include clinical, outpatient, and emergency room records for dates of service in chronological </w:t>
      </w:r>
      <w:proofErr w:type="gramStart"/>
      <w:r w:rsidRPr="006B2E8B">
        <w:t>order;</w:t>
      </w:r>
      <w:proofErr w:type="gramEnd"/>
    </w:p>
    <w:p w14:paraId="02BF4C5C" w14:textId="77777777" w:rsidR="00EF231F" w:rsidRPr="006B2E8B" w:rsidRDefault="00EF231F" w:rsidP="00EF231F">
      <w:pPr>
        <w:pStyle w:val="cnumbered"/>
      </w:pPr>
      <w:r w:rsidRPr="006B2E8B">
        <w:t>4.</w:t>
      </w:r>
      <w:r w:rsidRPr="006B2E8B">
        <w:tab/>
        <w:t xml:space="preserve">Include related diabetic and blood pressure flow </w:t>
      </w:r>
      <w:proofErr w:type="gramStart"/>
      <w:r w:rsidRPr="006B2E8B">
        <w:t>sheets;</w:t>
      </w:r>
      <w:proofErr w:type="gramEnd"/>
    </w:p>
    <w:p w14:paraId="7FE113F3" w14:textId="77777777" w:rsidR="00EF231F" w:rsidRPr="006B2E8B" w:rsidRDefault="00EF231F" w:rsidP="00EF231F">
      <w:pPr>
        <w:pStyle w:val="cnumbered"/>
      </w:pPr>
      <w:r w:rsidRPr="006B2E8B">
        <w:t>5.</w:t>
      </w:r>
      <w:r w:rsidRPr="006B2E8B">
        <w:tab/>
        <w:t xml:space="preserve">Include current medication list for date of </w:t>
      </w:r>
      <w:proofErr w:type="gramStart"/>
      <w:r w:rsidRPr="006B2E8B">
        <w:t>service;</w:t>
      </w:r>
      <w:proofErr w:type="gramEnd"/>
    </w:p>
    <w:p w14:paraId="78C749C3" w14:textId="77777777" w:rsidR="00EF231F" w:rsidRPr="006B2E8B" w:rsidRDefault="00EF231F" w:rsidP="00EF231F">
      <w:pPr>
        <w:pStyle w:val="cnumbered"/>
      </w:pPr>
      <w:r w:rsidRPr="006B2E8B">
        <w:t>6.</w:t>
      </w:r>
      <w:r w:rsidRPr="006B2E8B">
        <w:tab/>
        <w:t>Include obstetrical record related to current pregnancy when applicable; and</w:t>
      </w:r>
    </w:p>
    <w:p w14:paraId="1065B1C2" w14:textId="77777777" w:rsidR="00EF231F" w:rsidRPr="006B2E8B" w:rsidRDefault="00EF231F" w:rsidP="00EF231F">
      <w:pPr>
        <w:pStyle w:val="cnumbered"/>
      </w:pPr>
      <w:r w:rsidRPr="006B2E8B">
        <w:t>7.</w:t>
      </w:r>
      <w:r w:rsidRPr="006B2E8B">
        <w:tab/>
        <w:t>Include clinical indication for diagnostic laboratory and radiology/other services ordered with a copy of orders for diagnostic laboratory and radiology/other services signed by the physician.</w:t>
      </w:r>
    </w:p>
    <w:p w14:paraId="286112F4" w14:textId="77777777" w:rsidR="00EF231F" w:rsidRPr="006B2E8B" w:rsidRDefault="00EF231F" w:rsidP="00EF231F">
      <w:pPr>
        <w:pStyle w:val="CLETTERED"/>
      </w:pPr>
      <w:r w:rsidRPr="006B2E8B">
        <w:t>D.</w:t>
      </w:r>
      <w:r w:rsidRPr="006B2E8B">
        <w:tab/>
        <w:t>Diagnostic laboratory and radiology/other reports must include:</w:t>
      </w:r>
    </w:p>
    <w:p w14:paraId="2F20EC50" w14:textId="77777777" w:rsidR="00EF231F" w:rsidRPr="006B2E8B" w:rsidRDefault="00EF231F" w:rsidP="00EF231F">
      <w:pPr>
        <w:pStyle w:val="cnumbered"/>
      </w:pPr>
      <w:r w:rsidRPr="006B2E8B">
        <w:t>1.</w:t>
      </w:r>
      <w:r w:rsidRPr="006B2E8B">
        <w:tab/>
        <w:t xml:space="preserve">Clinical indication for diagnostic laboratory and radiology/other services </w:t>
      </w:r>
      <w:proofErr w:type="gramStart"/>
      <w:r w:rsidRPr="006B2E8B">
        <w:t>ordered;</w:t>
      </w:r>
      <w:proofErr w:type="gramEnd"/>
    </w:p>
    <w:p w14:paraId="1D169274" w14:textId="77777777" w:rsidR="00EF231F" w:rsidRPr="006B2E8B" w:rsidRDefault="00EF231F" w:rsidP="00EF231F">
      <w:pPr>
        <w:pStyle w:val="cnumbered"/>
      </w:pPr>
      <w:r w:rsidRPr="006B2E8B">
        <w:t>2.</w:t>
      </w:r>
      <w:r w:rsidRPr="006B2E8B">
        <w:tab/>
        <w:t xml:space="preserve">Signed orders for diagnostic laboratory and radiology/other </w:t>
      </w:r>
      <w:proofErr w:type="gramStart"/>
      <w:r w:rsidRPr="006B2E8B">
        <w:t>services;</w:t>
      </w:r>
      <w:proofErr w:type="gramEnd"/>
    </w:p>
    <w:p w14:paraId="05FD3A5F" w14:textId="77777777" w:rsidR="00EF231F" w:rsidRPr="006B2E8B" w:rsidRDefault="00EF231F" w:rsidP="00EF231F">
      <w:pPr>
        <w:pStyle w:val="cnumbered"/>
      </w:pPr>
      <w:r w:rsidRPr="006B2E8B">
        <w:t>3.</w:t>
      </w:r>
      <w:r w:rsidRPr="006B2E8B">
        <w:tab/>
        <w:t>Results signed by the performing provider; and</w:t>
      </w:r>
    </w:p>
    <w:p w14:paraId="5EB4F3E6" w14:textId="77777777" w:rsidR="006D15F7" w:rsidRPr="006B2E8B" w:rsidRDefault="00EF231F" w:rsidP="00B47297">
      <w:pPr>
        <w:pStyle w:val="cnumbered"/>
      </w:pPr>
      <w:r w:rsidRPr="006B2E8B">
        <w:t>4.</w:t>
      </w:r>
      <w:r w:rsidRPr="006B2E8B">
        <w:tab/>
        <w:t>Current and all previous ultrasound reports, including biophysical profiles and fetal non-stress tests when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D15F7" w:rsidRPr="006B2E8B" w14:paraId="2CC0076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EFDB0E5" w14:textId="77777777" w:rsidR="006D15F7" w:rsidRPr="006B2E8B" w:rsidRDefault="006D15F7" w:rsidP="006D15F7">
            <w:pPr>
              <w:pStyle w:val="chead2"/>
              <w:keepNext/>
            </w:pPr>
            <w:bookmarkStart w:id="118" w:name="_Toc202162645"/>
            <w:r w:rsidRPr="006B2E8B">
              <w:rPr>
                <w:rFonts w:eastAsia="MS Mincho"/>
              </w:rPr>
              <w:lastRenderedPageBreak/>
              <w:t>220.204</w:t>
            </w:r>
            <w:r w:rsidRPr="006B2E8B">
              <w:rPr>
                <w:rFonts w:eastAsia="MS Mincho"/>
              </w:rPr>
              <w:tab/>
              <w:t>Provider Notification of Benefit Extension Determinations</w:t>
            </w:r>
            <w:bookmarkEnd w:id="118"/>
          </w:p>
        </w:tc>
        <w:tc>
          <w:tcPr>
            <w:tcW w:w="1238" w:type="dxa"/>
            <w:tcBorders>
              <w:top w:val="single" w:sz="2" w:space="0" w:color="FFFFFF"/>
              <w:left w:val="single" w:sz="6" w:space="0" w:color="FFFFFF"/>
              <w:bottom w:val="single" w:sz="2" w:space="0" w:color="FFFFFF"/>
              <w:right w:val="single" w:sz="2" w:space="0" w:color="FFFFFF"/>
            </w:tcBorders>
          </w:tcPr>
          <w:p w14:paraId="45782213" w14:textId="77777777" w:rsidR="006D15F7" w:rsidRPr="006B2E8B" w:rsidRDefault="00641270" w:rsidP="009A08F3">
            <w:pPr>
              <w:pStyle w:val="cDate2"/>
            </w:pPr>
            <w:r w:rsidRPr="006B2E8B">
              <w:t>8-1-21</w:t>
            </w:r>
          </w:p>
        </w:tc>
      </w:tr>
    </w:tbl>
    <w:p w14:paraId="5DE98FE0" w14:textId="77777777" w:rsidR="00641270" w:rsidRPr="006B2E8B" w:rsidRDefault="00641270" w:rsidP="00641270">
      <w:pPr>
        <w:pStyle w:val="ctext"/>
        <w:rPr>
          <w:rFonts w:eastAsia="MS Mincho"/>
        </w:rPr>
      </w:pPr>
      <w:r w:rsidRPr="006B2E8B">
        <w:rPr>
          <w:rFonts w:eastAsia="MS Mincho"/>
        </w:rPr>
        <w:t>Approval or denial of a benefit extension request—or request for additional information—will be made within thirty (30) calendar days.</w:t>
      </w:r>
    </w:p>
    <w:p w14:paraId="644175D1" w14:textId="77777777" w:rsidR="006D15F7" w:rsidRPr="006B2E8B" w:rsidRDefault="00641270" w:rsidP="00641270">
      <w:pPr>
        <w:pStyle w:val="CLETTERED"/>
      </w:pPr>
      <w:r w:rsidRPr="006B2E8B">
        <w:t>A.</w:t>
      </w:r>
      <w:r w:rsidRPr="006B2E8B">
        <w:tab/>
        <w:t>Reviewers will simultaneously advise the provider and the beneficiary when a benefit extension request is denied.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10A0B" w:rsidRPr="006B2E8B" w14:paraId="274ABA8C" w14:textId="77777777">
        <w:trPr>
          <w:cantSplit/>
          <w:trHeight w:val="75"/>
        </w:trPr>
        <w:tc>
          <w:tcPr>
            <w:tcW w:w="8122" w:type="dxa"/>
            <w:tcBorders>
              <w:top w:val="single" w:sz="2" w:space="0" w:color="FFFFFF"/>
              <w:left w:val="single" w:sz="2" w:space="0" w:color="FFFFFF"/>
              <w:bottom w:val="single" w:sz="2" w:space="0" w:color="FFFFFF"/>
              <w:right w:val="single" w:sz="6" w:space="0" w:color="FFFFFF"/>
            </w:tcBorders>
          </w:tcPr>
          <w:p w14:paraId="3E51ACEA" w14:textId="3EACF11B" w:rsidR="00310A0B" w:rsidRPr="006B2E8B" w:rsidRDefault="00310A0B" w:rsidP="00310A0B">
            <w:pPr>
              <w:pStyle w:val="chead2"/>
              <w:keepNext/>
            </w:pPr>
            <w:bookmarkStart w:id="119" w:name="_Toc121472174"/>
            <w:bookmarkStart w:id="120" w:name="_Toc202162646"/>
            <w:r w:rsidRPr="006B2E8B">
              <w:t>220.205</w:t>
            </w:r>
            <w:r w:rsidRPr="006B2E8B">
              <w:tab/>
              <w:t xml:space="preserve">Administrative Reconsideration </w:t>
            </w:r>
            <w:bookmarkEnd w:id="119"/>
            <w:r w:rsidRPr="006B2E8B">
              <w:t>and Appeals</w:t>
            </w:r>
            <w:bookmarkEnd w:id="120"/>
          </w:p>
        </w:tc>
        <w:tc>
          <w:tcPr>
            <w:tcW w:w="1238" w:type="dxa"/>
            <w:tcBorders>
              <w:top w:val="single" w:sz="2" w:space="0" w:color="FFFFFF"/>
              <w:left w:val="single" w:sz="6" w:space="0" w:color="FFFFFF"/>
              <w:bottom w:val="single" w:sz="2" w:space="0" w:color="FFFFFF"/>
              <w:right w:val="single" w:sz="2" w:space="0" w:color="FFFFFF"/>
            </w:tcBorders>
          </w:tcPr>
          <w:p w14:paraId="5E636C9D" w14:textId="271983AA" w:rsidR="00310A0B" w:rsidRPr="006B2E8B" w:rsidRDefault="00310A0B" w:rsidP="00310A0B">
            <w:pPr>
              <w:pStyle w:val="cDate2"/>
              <w:keepNext/>
            </w:pPr>
            <w:r w:rsidRPr="006B2E8B">
              <w:rPr>
                <w:bCs/>
              </w:rPr>
              <w:t>6-1-25</w:t>
            </w:r>
          </w:p>
        </w:tc>
      </w:tr>
    </w:tbl>
    <w:p w14:paraId="00C36F3A" w14:textId="77777777" w:rsidR="00310A0B" w:rsidRPr="006B2E8B" w:rsidRDefault="002C53D7" w:rsidP="00310A0B">
      <w:pPr>
        <w:pStyle w:val="CLETTERED"/>
      </w:pPr>
      <w:r w:rsidRPr="006B2E8B">
        <w:t>A.</w:t>
      </w:r>
      <w:r w:rsidRPr="006B2E8B">
        <w:tab/>
      </w:r>
      <w:r w:rsidR="00310A0B" w:rsidRPr="006B2E8B">
        <w:t>Medicaid allows only one (1) reconsideration of an adverse decision. Reconsideration requests must be submitted in accordance with Section 160.000 of Section I of this Manual.</w:t>
      </w:r>
    </w:p>
    <w:p w14:paraId="75599938" w14:textId="39FE9B4E" w:rsidR="006D15F7" w:rsidRPr="006B2E8B" w:rsidRDefault="00310A0B" w:rsidP="00310A0B">
      <w:pPr>
        <w:pStyle w:val="CLETTERED"/>
      </w:pPr>
      <w:r w:rsidRPr="006B2E8B">
        <w:t>B.</w:t>
      </w:r>
      <w:r w:rsidRPr="006B2E8B">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10A0B" w:rsidRPr="006B2E8B" w14:paraId="3A53E7E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957E77E" w14:textId="43D4426C" w:rsidR="00310A0B" w:rsidRPr="006B2E8B" w:rsidRDefault="00310A0B" w:rsidP="00310A0B">
            <w:pPr>
              <w:pStyle w:val="chead2"/>
              <w:keepNext/>
              <w:rPr>
                <w:rFonts w:eastAsia="MS Mincho"/>
              </w:rPr>
            </w:pPr>
            <w:bookmarkStart w:id="121" w:name="_Toc121472175"/>
            <w:bookmarkStart w:id="122" w:name="_Toc202162647"/>
            <w:r w:rsidRPr="006B2E8B">
              <w:rPr>
                <w:rFonts w:eastAsia="MS Mincho"/>
              </w:rPr>
              <w:t>220.210</w:t>
            </w:r>
            <w:r w:rsidRPr="006B2E8B">
              <w:rPr>
                <w:rFonts w:eastAsia="MS Mincho"/>
              </w:rPr>
              <w:tab/>
            </w:r>
            <w:bookmarkEnd w:id="121"/>
            <w:r w:rsidRPr="006B2E8B">
              <w:rPr>
                <w:rFonts w:eastAsia="MS Mincho"/>
              </w:rPr>
              <w:t>Reserved</w:t>
            </w:r>
            <w:bookmarkEnd w:id="122"/>
          </w:p>
        </w:tc>
        <w:tc>
          <w:tcPr>
            <w:tcW w:w="1238" w:type="dxa"/>
            <w:tcBorders>
              <w:top w:val="single" w:sz="2" w:space="0" w:color="FFFFFF"/>
              <w:left w:val="single" w:sz="6" w:space="0" w:color="FFFFFF"/>
              <w:bottom w:val="single" w:sz="2" w:space="0" w:color="FFFFFF"/>
              <w:right w:val="single" w:sz="2" w:space="0" w:color="FFFFFF"/>
            </w:tcBorders>
          </w:tcPr>
          <w:p w14:paraId="0C5880DA" w14:textId="77AA2934" w:rsidR="00310A0B" w:rsidRPr="006B2E8B" w:rsidRDefault="00310A0B" w:rsidP="00310A0B">
            <w:pPr>
              <w:pStyle w:val="cDate2"/>
              <w:keepNext/>
            </w:pPr>
            <w:r w:rsidRPr="006B2E8B">
              <w:t>6-1-25</w:t>
            </w:r>
          </w:p>
        </w:tc>
      </w:tr>
      <w:tr w:rsidR="00310A0B" w:rsidRPr="006B2E8B" w14:paraId="42918FBB" w14:textId="77777777" w:rsidTr="005404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2D357DE7" w14:textId="0BA66EE7" w:rsidR="00310A0B" w:rsidRPr="006B2E8B" w:rsidRDefault="00310A0B" w:rsidP="00310A0B">
            <w:pPr>
              <w:pStyle w:val="chead2"/>
              <w:numPr>
                <w:ilvl w:val="12"/>
                <w:numId w:val="0"/>
              </w:numPr>
              <w:ind w:left="1440" w:hanging="1440"/>
            </w:pPr>
            <w:bookmarkStart w:id="123" w:name="_Toc40064411"/>
            <w:bookmarkStart w:id="124" w:name="_Toc121472176"/>
            <w:bookmarkStart w:id="125" w:name="_Toc202162648"/>
            <w:r w:rsidRPr="006B2E8B">
              <w:t>220.220</w:t>
            </w:r>
            <w:r w:rsidRPr="006B2E8B">
              <w:tab/>
            </w:r>
            <w:bookmarkEnd w:id="123"/>
            <w:bookmarkEnd w:id="124"/>
            <w:r w:rsidRPr="006B2E8B">
              <w:t>Reserved</w:t>
            </w:r>
            <w:bookmarkEnd w:id="125"/>
          </w:p>
        </w:tc>
        <w:tc>
          <w:tcPr>
            <w:tcW w:w="1238" w:type="dxa"/>
            <w:tcBorders>
              <w:top w:val="single" w:sz="6" w:space="0" w:color="FFFFFF"/>
              <w:left w:val="single" w:sz="6" w:space="0" w:color="FFFFFF"/>
              <w:bottom w:val="single" w:sz="6" w:space="0" w:color="FFFFFF"/>
              <w:right w:val="single" w:sz="6" w:space="0" w:color="FFFFFF"/>
            </w:tcBorders>
          </w:tcPr>
          <w:p w14:paraId="782BC781" w14:textId="1AB5C287" w:rsidR="00310A0B" w:rsidRPr="006B2E8B" w:rsidRDefault="00310A0B" w:rsidP="00310A0B">
            <w:pPr>
              <w:pStyle w:val="cDate2"/>
              <w:numPr>
                <w:ilvl w:val="12"/>
                <w:numId w:val="0"/>
              </w:numPr>
            </w:pPr>
            <w:r w:rsidRPr="006B2E8B">
              <w:t>6-1-25</w:t>
            </w:r>
          </w:p>
        </w:tc>
      </w:tr>
      <w:tr w:rsidR="006D15F7" w:rsidRPr="006B2E8B" w14:paraId="6BD65E6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single" w:sz="6" w:space="0" w:color="FFFFFF"/>
              <w:left w:val="single" w:sz="6" w:space="0" w:color="FFFFFF"/>
              <w:bottom w:val="single" w:sz="6" w:space="0" w:color="FFFFFF"/>
              <w:right w:val="single" w:sz="6" w:space="0" w:color="FFFFFF"/>
            </w:tcBorders>
          </w:tcPr>
          <w:p w14:paraId="415FC19F" w14:textId="77777777" w:rsidR="006D15F7" w:rsidRPr="006B2E8B" w:rsidRDefault="006D15F7">
            <w:pPr>
              <w:pStyle w:val="chead2"/>
              <w:numPr>
                <w:ilvl w:val="12"/>
                <w:numId w:val="0"/>
              </w:numPr>
              <w:ind w:left="1440" w:hanging="1440"/>
            </w:pPr>
            <w:bookmarkStart w:id="126" w:name="_Toc40064412"/>
            <w:bookmarkStart w:id="127" w:name="_Toc202162649"/>
            <w:r w:rsidRPr="006B2E8B">
              <w:t>220.300</w:t>
            </w:r>
            <w:r w:rsidRPr="006B2E8B">
              <w:tab/>
              <w:t>Benefit Limits for Other Ambulatory Services Encounters</w:t>
            </w:r>
            <w:bookmarkEnd w:id="126"/>
            <w:bookmarkEnd w:id="127"/>
          </w:p>
        </w:tc>
        <w:tc>
          <w:tcPr>
            <w:tcW w:w="1238" w:type="dxa"/>
            <w:tcBorders>
              <w:top w:val="single" w:sz="6" w:space="0" w:color="FFFFFF"/>
              <w:left w:val="single" w:sz="6" w:space="0" w:color="FFFFFF"/>
              <w:bottom w:val="single" w:sz="6" w:space="0" w:color="FFFFFF"/>
              <w:right w:val="single" w:sz="6" w:space="0" w:color="FFFFFF"/>
            </w:tcBorders>
          </w:tcPr>
          <w:p w14:paraId="1193BD6B"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19EF8509" w14:textId="77777777" w:rsidR="006D15F7" w:rsidRPr="006B2E8B" w:rsidRDefault="002C53D7" w:rsidP="002C53D7">
      <w:pPr>
        <w:pStyle w:val="CLETTERED"/>
      </w:pPr>
      <w:r w:rsidRPr="006B2E8B">
        <w:t>A.</w:t>
      </w:r>
      <w:r w:rsidRPr="006B2E8B">
        <w:tab/>
      </w:r>
      <w:r w:rsidR="006D15F7" w:rsidRPr="006B2E8B">
        <w:t>Arkansas Medicaid has established benefit limits in each program in which an FQHC may enroll to provide other ambulatory services.</w:t>
      </w:r>
    </w:p>
    <w:p w14:paraId="14CF5D00" w14:textId="77777777" w:rsidR="006D15F7" w:rsidRPr="006B2E8B" w:rsidRDefault="002C53D7" w:rsidP="002C53D7">
      <w:pPr>
        <w:pStyle w:val="cnumbered"/>
      </w:pPr>
      <w:r w:rsidRPr="006B2E8B">
        <w:t>1.</w:t>
      </w:r>
      <w:r w:rsidRPr="006B2E8B">
        <w:tab/>
      </w:r>
      <w:r w:rsidR="006D15F7" w:rsidRPr="006B2E8B">
        <w:t>Other ambulatory services are counted for benefit limit purposes in the program in which they are provided and covered.</w:t>
      </w:r>
    </w:p>
    <w:p w14:paraId="722F7B59" w14:textId="77777777" w:rsidR="006D15F7" w:rsidRPr="006B2E8B" w:rsidRDefault="002C53D7" w:rsidP="002C53D7">
      <w:pPr>
        <w:pStyle w:val="cnumbered"/>
      </w:pPr>
      <w:r w:rsidRPr="006B2E8B">
        <w:t>2.</w:t>
      </w:r>
      <w:r w:rsidRPr="006B2E8B">
        <w:tab/>
      </w:r>
      <w:r w:rsidR="006D15F7" w:rsidRPr="006B2E8B">
        <w:t>The established benefit limits for each such program can be found in the "Benefit Limits" section in Section II of each program's provider manual or in official correspondence released since the most recent provider manual update.</w:t>
      </w:r>
    </w:p>
    <w:p w14:paraId="229C07EF" w14:textId="77777777" w:rsidR="006D15F7" w:rsidRPr="006B2E8B" w:rsidRDefault="002C53D7" w:rsidP="002C53D7">
      <w:pPr>
        <w:pStyle w:val="cnumbered"/>
      </w:pPr>
      <w:r w:rsidRPr="006B2E8B">
        <w:t>3.</w:t>
      </w:r>
      <w:r w:rsidRPr="006B2E8B">
        <w:tab/>
      </w:r>
      <w:r w:rsidR="006D15F7" w:rsidRPr="006B2E8B">
        <w:t xml:space="preserve">Services provided </w:t>
      </w:r>
      <w:proofErr w:type="gramStart"/>
      <w:r w:rsidR="006D15F7" w:rsidRPr="006B2E8B">
        <w:t>as</w:t>
      </w:r>
      <w:proofErr w:type="gramEnd"/>
      <w:r w:rsidR="006D15F7" w:rsidRPr="006B2E8B">
        <w:t xml:space="preserve"> other ambulatory services are considered encounters for settlement purposes, but they do not count against the FQHC core service encounter benefit limit.</w:t>
      </w:r>
    </w:p>
    <w:p w14:paraId="56E92660" w14:textId="77777777" w:rsidR="006D15F7" w:rsidRPr="006B2E8B" w:rsidRDefault="002C53D7" w:rsidP="002C53D7">
      <w:pPr>
        <w:pStyle w:val="CLETTERED"/>
      </w:pPr>
      <w:r w:rsidRPr="006B2E8B">
        <w:t>B.</w:t>
      </w:r>
      <w:r w:rsidRPr="006B2E8B">
        <w:tab/>
      </w:r>
      <w:r w:rsidR="006D15F7" w:rsidRPr="006B2E8B">
        <w:t xml:space="preserve">Provider manuals can be ordered from the Provider Enrollment Unit or downloaded from the Arkansas Medicaid </w:t>
      </w:r>
      <w:r w:rsidR="00B526FA" w:rsidRPr="006B2E8B">
        <w:t>w</w:t>
      </w:r>
      <w:r w:rsidR="006D15F7" w:rsidRPr="006B2E8B">
        <w:t xml:space="preserve">ebsite, </w:t>
      </w:r>
      <w:hyperlink r:id="rId31" w:history="1">
        <w:r w:rsidR="00483844" w:rsidRPr="006B2E8B">
          <w:rPr>
            <w:rStyle w:val="Hyperlink"/>
          </w:rPr>
          <w:t>https://medicaid.mmis.arkansas.gov/</w:t>
        </w:r>
      </w:hyperlink>
      <w:r w:rsidR="006D15F7" w:rsidRPr="006B2E8B">
        <w:rPr>
          <w:rStyle w:val="Hyperlink"/>
        </w:rPr>
        <w:t>.</w:t>
      </w:r>
      <w:r w:rsidR="006D15F7" w:rsidRPr="006B2E8B">
        <w:t xml:space="preserve">  Provider manuals ordered from Provider Enrollment include unincorporated official correspondence.  When downloading a program's provider manual from the Medicaid </w:t>
      </w:r>
      <w:r w:rsidR="00B526FA" w:rsidRPr="006B2E8B">
        <w:t>w</w:t>
      </w:r>
      <w:r w:rsidR="006D15F7" w:rsidRPr="006B2E8B">
        <w:t>ebsite, download the program's official notices as well.  See Section I of this manual to order provider manuals.</w:t>
      </w:r>
    </w:p>
    <w:p w14:paraId="497226D0" w14:textId="77777777" w:rsidR="006D15F7" w:rsidRPr="006B2E8B" w:rsidRDefault="006D15F7">
      <w:pPr>
        <w:pStyle w:val="ctablespace"/>
        <w:numPr>
          <w:ilvl w:val="12"/>
          <w:numId w:val="0"/>
        </w:numPr>
        <w:ind w:left="360"/>
      </w:pPr>
    </w:p>
    <w:tbl>
      <w:tblPr>
        <w:tblW w:w="0" w:type="auto"/>
        <w:shd w:val="clear" w:color="auto" w:fill="1D73D6"/>
        <w:tblLayout w:type="fixed"/>
        <w:tblLook w:val="0000" w:firstRow="0" w:lastRow="0" w:firstColumn="0" w:lastColumn="0" w:noHBand="0" w:noVBand="0"/>
      </w:tblPr>
      <w:tblGrid>
        <w:gridCol w:w="8122"/>
        <w:gridCol w:w="1238"/>
      </w:tblGrid>
      <w:tr w:rsidR="006D15F7" w:rsidRPr="006B2E8B" w14:paraId="1B64E537" w14:textId="77777777" w:rsidTr="00D62AF5">
        <w:trPr>
          <w:cantSplit/>
        </w:trPr>
        <w:tc>
          <w:tcPr>
            <w:tcW w:w="8122" w:type="dxa"/>
            <w:shd w:val="clear" w:color="auto" w:fill="1D73D6"/>
          </w:tcPr>
          <w:p w14:paraId="3B47CFA8" w14:textId="77777777" w:rsidR="006D15F7" w:rsidRPr="006B2E8B" w:rsidRDefault="006D15F7">
            <w:pPr>
              <w:pStyle w:val="chead1"/>
              <w:numPr>
                <w:ilvl w:val="12"/>
                <w:numId w:val="0"/>
              </w:numPr>
              <w:ind w:left="1440" w:hanging="1440"/>
            </w:pPr>
            <w:bookmarkStart w:id="128" w:name="_Toc40064413"/>
            <w:bookmarkStart w:id="129" w:name="_Toc202162650"/>
            <w:r w:rsidRPr="006B2E8B">
              <w:t>240.000</w:t>
            </w:r>
            <w:r w:rsidRPr="006B2E8B">
              <w:tab/>
              <w:t>PRIOR AUTHORIZATION</w:t>
            </w:r>
            <w:bookmarkEnd w:id="128"/>
            <w:bookmarkEnd w:id="129"/>
          </w:p>
        </w:tc>
        <w:tc>
          <w:tcPr>
            <w:tcW w:w="1238" w:type="dxa"/>
            <w:shd w:val="clear" w:color="auto" w:fill="1D73D6"/>
          </w:tcPr>
          <w:p w14:paraId="4CF62E8E" w14:textId="77777777" w:rsidR="006D15F7" w:rsidRPr="006B2E8B" w:rsidRDefault="006D15F7" w:rsidP="006D15F7">
            <w:pPr>
              <w:pStyle w:val="cDate1"/>
            </w:pPr>
            <w:smartTag w:uri="urn:schemas-microsoft-com:office:smarttags" w:element="date">
              <w:smartTagPr>
                <w:attr w:name="Month" w:val="10"/>
                <w:attr w:name="Day" w:val="13"/>
                <w:attr w:name="Year" w:val="2003"/>
              </w:smartTagPr>
              <w:r w:rsidRPr="006B2E8B">
                <w:t>10-13-03</w:t>
              </w:r>
            </w:smartTag>
          </w:p>
        </w:tc>
      </w:tr>
    </w:tbl>
    <w:p w14:paraId="08BA2A7A" w14:textId="77777777" w:rsidR="006D15F7" w:rsidRPr="006B2E8B" w:rsidRDefault="006D15F7">
      <w:pPr>
        <w:pStyle w:val="ctext"/>
        <w:numPr>
          <w:ilvl w:val="12"/>
          <w:numId w:val="0"/>
        </w:numPr>
        <w:ind w:left="360"/>
      </w:pPr>
      <w:r w:rsidRPr="006B2E8B">
        <w:t>Prior authorization is not applicable to FQHC services.</w:t>
      </w:r>
    </w:p>
    <w:p w14:paraId="68FC4656" w14:textId="77777777" w:rsidR="006D15F7" w:rsidRPr="006B2E8B" w:rsidRDefault="006D15F7">
      <w:pPr>
        <w:pStyle w:val="ctablespace"/>
        <w:numPr>
          <w:ilvl w:val="12"/>
          <w:numId w:val="0"/>
        </w:numPr>
        <w:ind w:left="360"/>
      </w:pPr>
    </w:p>
    <w:tbl>
      <w:tblPr>
        <w:tblW w:w="0" w:type="auto"/>
        <w:tblLayout w:type="fixed"/>
        <w:tblLook w:val="0000" w:firstRow="0" w:lastRow="0" w:firstColumn="0" w:lastColumn="0" w:noHBand="0" w:noVBand="0"/>
      </w:tblPr>
      <w:tblGrid>
        <w:gridCol w:w="8122"/>
        <w:gridCol w:w="1238"/>
      </w:tblGrid>
      <w:tr w:rsidR="006D15F7" w:rsidRPr="006B2E8B" w14:paraId="6A8187B3" w14:textId="77777777" w:rsidTr="00D62AF5">
        <w:trPr>
          <w:cantSplit/>
        </w:trPr>
        <w:tc>
          <w:tcPr>
            <w:tcW w:w="8122" w:type="dxa"/>
            <w:shd w:val="clear" w:color="auto" w:fill="1D73D6"/>
          </w:tcPr>
          <w:p w14:paraId="31233E0A" w14:textId="77777777" w:rsidR="006D15F7" w:rsidRPr="006B2E8B" w:rsidRDefault="006D15F7">
            <w:pPr>
              <w:pStyle w:val="chead1"/>
              <w:numPr>
                <w:ilvl w:val="12"/>
                <w:numId w:val="0"/>
              </w:numPr>
              <w:ind w:left="1440" w:hanging="1440"/>
            </w:pPr>
            <w:bookmarkStart w:id="130" w:name="_Toc40064414"/>
            <w:bookmarkStart w:id="131" w:name="_Toc202162651"/>
            <w:r w:rsidRPr="006B2E8B">
              <w:t>250.000</w:t>
            </w:r>
            <w:r w:rsidRPr="006B2E8B">
              <w:tab/>
              <w:t>REIMBURSEMENT</w:t>
            </w:r>
            <w:bookmarkEnd w:id="130"/>
            <w:bookmarkEnd w:id="131"/>
          </w:p>
        </w:tc>
        <w:tc>
          <w:tcPr>
            <w:tcW w:w="1238" w:type="dxa"/>
            <w:shd w:val="clear" w:color="auto" w:fill="1D73D6"/>
          </w:tcPr>
          <w:p w14:paraId="300FD595" w14:textId="77777777" w:rsidR="006D15F7" w:rsidRPr="006B2E8B" w:rsidRDefault="006D15F7" w:rsidP="006D15F7">
            <w:pPr>
              <w:pStyle w:val="cDate1"/>
            </w:pPr>
          </w:p>
        </w:tc>
      </w:tr>
      <w:tr w:rsidR="006D15F7" w:rsidRPr="006B2E8B" w14:paraId="58E462C6" w14:textId="77777777" w:rsidTr="00D62A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63FBE50" w14:textId="77777777" w:rsidR="006D15F7" w:rsidRPr="006B2E8B" w:rsidRDefault="006D15F7">
            <w:pPr>
              <w:pStyle w:val="chead2"/>
              <w:numPr>
                <w:ilvl w:val="12"/>
                <w:numId w:val="0"/>
              </w:numPr>
              <w:ind w:left="1440" w:hanging="1440"/>
            </w:pPr>
            <w:bookmarkStart w:id="132" w:name="_Toc40064415"/>
            <w:bookmarkStart w:id="133" w:name="_Toc202162652"/>
            <w:r w:rsidRPr="006B2E8B">
              <w:t>251.000</w:t>
            </w:r>
            <w:r w:rsidRPr="006B2E8B">
              <w:tab/>
              <w:t xml:space="preserve">Reimbursement Methodology for Dates of Service before </w:t>
            </w:r>
            <w:smartTag w:uri="urn:schemas-microsoft-com:office:smarttags" w:element="date">
              <w:smartTagPr>
                <w:attr w:name="Month" w:val="1"/>
                <w:attr w:name="Day" w:val="1"/>
                <w:attr w:name="Year" w:val="2001"/>
              </w:smartTagPr>
              <w:r w:rsidRPr="006B2E8B">
                <w:t>January 1, 2001</w:t>
              </w:r>
            </w:smartTag>
            <w:bookmarkEnd w:id="132"/>
            <w:bookmarkEnd w:id="133"/>
          </w:p>
        </w:tc>
        <w:tc>
          <w:tcPr>
            <w:tcW w:w="1238" w:type="dxa"/>
            <w:tcBorders>
              <w:top w:val="nil"/>
              <w:left w:val="single" w:sz="6" w:space="0" w:color="FFFFFF"/>
              <w:bottom w:val="single" w:sz="6" w:space="0" w:color="FFFFFF"/>
              <w:right w:val="single" w:sz="6" w:space="0" w:color="FFFFFF"/>
            </w:tcBorders>
          </w:tcPr>
          <w:p w14:paraId="5674C632"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CAE3460" w14:textId="77777777" w:rsidR="006D15F7" w:rsidRPr="006B2E8B" w:rsidRDefault="006D15F7">
      <w:pPr>
        <w:pStyle w:val="ctext"/>
        <w:numPr>
          <w:ilvl w:val="12"/>
          <w:numId w:val="0"/>
        </w:numPr>
        <w:ind w:left="360"/>
      </w:pPr>
      <w:r w:rsidRPr="006B2E8B">
        <w:t xml:space="preserve">Reimbursement methodology in Sections 251.100 through 251.510 regards dates of service before </w:t>
      </w:r>
      <w:smartTag w:uri="urn:schemas-microsoft-com:office:smarttags" w:element="date">
        <w:smartTagPr>
          <w:attr w:name="Month" w:val="1"/>
          <w:attr w:name="Day" w:val="1"/>
          <w:attr w:name="Year" w:val="2001"/>
        </w:smartTagPr>
        <w:r w:rsidRPr="006B2E8B">
          <w:t>January 1, 2001</w:t>
        </w:r>
      </w:smartTag>
      <w:r w:rsidRPr="006B2E8B">
        <w:t xml:space="preserve">.  See Sections 252.000 through 252.241 for reimbursement methodologies in effect for dates of service on and after </w:t>
      </w:r>
      <w:smartTag w:uri="urn:schemas-microsoft-com:office:smarttags" w:element="date">
        <w:smartTagPr>
          <w:attr w:name="Month" w:val="1"/>
          <w:attr w:name="Day" w:val="1"/>
          <w:attr w:name="Year" w:val="2001"/>
        </w:smartTagPr>
        <w:r w:rsidRPr="006B2E8B">
          <w:t>January 1, 2001</w:t>
        </w:r>
      </w:smartTag>
      <w:r w:rsidRPr="006B2E8B">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4BEEA3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21C16AC" w14:textId="77777777" w:rsidR="006D15F7" w:rsidRPr="006B2E8B" w:rsidRDefault="006D15F7">
            <w:pPr>
              <w:pStyle w:val="chead2"/>
              <w:numPr>
                <w:ilvl w:val="12"/>
                <w:numId w:val="0"/>
              </w:numPr>
              <w:ind w:left="1440" w:hanging="1440"/>
            </w:pPr>
            <w:bookmarkStart w:id="134" w:name="_Toc40064416"/>
            <w:bookmarkStart w:id="135" w:name="_Toc202162653"/>
            <w:r w:rsidRPr="006B2E8B">
              <w:lastRenderedPageBreak/>
              <w:t>251.100</w:t>
            </w:r>
            <w:r w:rsidRPr="006B2E8B">
              <w:tab/>
              <w:t>Cost Report Form CMS-222-92 (formerly HCFA-222-92)</w:t>
            </w:r>
            <w:bookmarkEnd w:id="134"/>
            <w:bookmarkEnd w:id="135"/>
          </w:p>
        </w:tc>
        <w:tc>
          <w:tcPr>
            <w:tcW w:w="1238" w:type="dxa"/>
            <w:tcBorders>
              <w:top w:val="single" w:sz="6" w:space="0" w:color="FFFFFF"/>
              <w:left w:val="single" w:sz="6" w:space="0" w:color="FFFFFF"/>
              <w:bottom w:val="single" w:sz="6" w:space="0" w:color="FFFFFF"/>
              <w:right w:val="single" w:sz="6" w:space="0" w:color="FFFFFF"/>
            </w:tcBorders>
          </w:tcPr>
          <w:p w14:paraId="1A9EAF7C"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B2BDC01" w14:textId="2389B0F9" w:rsidR="006D15F7" w:rsidRPr="006B2E8B" w:rsidRDefault="006D15F7">
      <w:pPr>
        <w:pStyle w:val="ctext"/>
        <w:numPr>
          <w:ilvl w:val="12"/>
          <w:numId w:val="0"/>
        </w:numPr>
        <w:ind w:left="360"/>
      </w:pPr>
      <w:r w:rsidRPr="006B2E8B">
        <w:t xml:space="preserve">According to the law that established Federally Qualified Health Centers (FQHCs), Medicaid must reimburse, at 100% of reasonable cost, services that meet the FQHC service definition.  Medicaid will establish an FQHC encounter rate unique to each center, based on each center's Medicare cost report.  The encounter rate will be reimbursed for all allowable encounters performed by </w:t>
      </w:r>
      <w:proofErr w:type="gramStart"/>
      <w:r w:rsidRPr="006B2E8B">
        <w:t>all of</w:t>
      </w:r>
      <w:proofErr w:type="gramEnd"/>
      <w:r w:rsidRPr="006B2E8B">
        <w:t xml:space="preserve"> the center's qualified clinics.  Each FQHC will submit to the Division of Medical Services (DMS), a copy of the CMS-222-92 cost report (all pages) submitted to Medicare.  </w:t>
      </w:r>
      <w:hyperlink r:id="rId32" w:history="1">
        <w:r w:rsidRPr="006B2E8B">
          <w:rPr>
            <w:rStyle w:val="Hyperlink"/>
          </w:rPr>
          <w:t>View or print DMS Financial Activities contact information</w:t>
        </w:r>
      </w:hyperlink>
      <w:r w:rsidRPr="006B2E8B">
        <w:t xml:space="preserve">.  The centers will complete the CMS-222-92 cost reports according to Medicare principles of reimbursement for Federally Qualified Health Centers, found at 42 CFR 405, subpart X and 42 CFR 413.  Desk review and/or on-site audit by the Medicare intermediary and the Division of Medical Services will determine a center's allowable and reasonable costs.  Medicaid will make settlement at 100% of allowable and reasonable costs reported on Worksheet A of the CMS-222-92, as verified by audit staff.  Reasonable costs are those applicable costs that are allowable under Medicare cost principles as outlined in 42 CFR 413.  Medicaid cost settles with FQHCs only for services that the FQHC service definition </w:t>
      </w:r>
      <w:proofErr w:type="gramStart"/>
      <w:r w:rsidRPr="006B2E8B">
        <w:t>includes</w:t>
      </w:r>
      <w:proofErr w:type="gramEnd"/>
      <w:r w:rsidRPr="006B2E8B">
        <w:t xml:space="preserve"> and that Medicaid covers.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15D556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CA3E9A8" w14:textId="77777777" w:rsidR="006D15F7" w:rsidRPr="006B2E8B" w:rsidRDefault="006D15F7">
            <w:pPr>
              <w:pStyle w:val="chead2"/>
              <w:numPr>
                <w:ilvl w:val="12"/>
                <w:numId w:val="0"/>
              </w:numPr>
              <w:ind w:left="1440" w:hanging="1440"/>
            </w:pPr>
            <w:bookmarkStart w:id="136" w:name="_Toc40064417"/>
            <w:bookmarkStart w:id="137" w:name="_Toc202162654"/>
            <w:r w:rsidRPr="006B2E8B">
              <w:t>251.200</w:t>
            </w:r>
            <w:r w:rsidRPr="006B2E8B">
              <w:tab/>
              <w:t>Adjustments to the Cost Report</w:t>
            </w:r>
            <w:bookmarkEnd w:id="136"/>
            <w:bookmarkEnd w:id="137"/>
          </w:p>
        </w:tc>
        <w:tc>
          <w:tcPr>
            <w:tcW w:w="1238" w:type="dxa"/>
            <w:tcBorders>
              <w:top w:val="single" w:sz="6" w:space="0" w:color="FFFFFF"/>
              <w:left w:val="single" w:sz="6" w:space="0" w:color="FFFFFF"/>
              <w:bottom w:val="single" w:sz="6" w:space="0" w:color="FFFFFF"/>
              <w:right w:val="single" w:sz="6" w:space="0" w:color="FFFFFF"/>
            </w:tcBorders>
          </w:tcPr>
          <w:p w14:paraId="57479CF5"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24A2D1B9" w14:textId="77777777" w:rsidR="006D15F7" w:rsidRPr="006B2E8B" w:rsidRDefault="006D15F7">
      <w:pPr>
        <w:pStyle w:val="ctext"/>
        <w:numPr>
          <w:ilvl w:val="12"/>
          <w:numId w:val="0"/>
        </w:numPr>
        <w:ind w:left="360"/>
      </w:pPr>
      <w:r w:rsidRPr="006B2E8B">
        <w:t xml:space="preserve">Direct compensation per </w:t>
      </w:r>
      <w:proofErr w:type="gramStart"/>
      <w:r w:rsidRPr="006B2E8B">
        <w:t>each line</w:t>
      </w:r>
      <w:proofErr w:type="gramEnd"/>
      <w:r w:rsidRPr="006B2E8B">
        <w:t xml:space="preserve"> is determined from Column 1 reported compensation net of Column 4 reclassifications (Column 1 </w:t>
      </w:r>
      <w:r w:rsidRPr="006B2E8B">
        <w:rPr>
          <w:rFonts w:cs="Arial"/>
        </w:rPr>
        <w:t>±</w:t>
      </w:r>
      <w:r w:rsidRPr="006B2E8B">
        <w:t xml:space="preserve"> Column 4).</w:t>
      </w:r>
    </w:p>
    <w:p w14:paraId="155476C2" w14:textId="77777777" w:rsidR="006D15F7" w:rsidRPr="006B2E8B" w:rsidRDefault="002C53D7" w:rsidP="002C53D7">
      <w:pPr>
        <w:pStyle w:val="CLETTERED"/>
      </w:pPr>
      <w:r w:rsidRPr="006B2E8B">
        <w:t>A.</w:t>
      </w:r>
      <w:r w:rsidRPr="006B2E8B">
        <w:tab/>
      </w:r>
      <w:r w:rsidR="006D15F7" w:rsidRPr="006B2E8B">
        <w:t xml:space="preserve">DMS will calculate the ratio of non-FQHC compensation (Worksheet A, Lines 51-61) to total direct compensation (Worksheet A, Lines 1-3; </w:t>
      </w:r>
      <w:proofErr w:type="gramStart"/>
      <w:r w:rsidR="006D15F7" w:rsidRPr="006B2E8B">
        <w:t>plus</w:t>
      </w:r>
      <w:proofErr w:type="gramEnd"/>
      <w:r w:rsidR="006D15F7" w:rsidRPr="006B2E8B">
        <w:t xml:space="preserve"> Worksheet A, Lines 51-61).  The Division will apply this ratio to total overhead costs (Worksheet A, Line 50, Column 7), allocating the result to non-FQHC costs (the center reports non-FQHC costs on Worksheet A, Lines 51-61).</w:t>
      </w:r>
    </w:p>
    <w:p w14:paraId="645CAE11" w14:textId="77777777" w:rsidR="006D15F7" w:rsidRPr="006B2E8B" w:rsidRDefault="002C53D7" w:rsidP="002C53D7">
      <w:pPr>
        <w:pStyle w:val="CLETTERED"/>
      </w:pPr>
      <w:r w:rsidRPr="006B2E8B">
        <w:t>B.</w:t>
      </w:r>
      <w:r w:rsidRPr="006B2E8B">
        <w:tab/>
      </w:r>
      <w:r w:rsidR="006D15F7" w:rsidRPr="006B2E8B">
        <w:t>The managed care expense will equal the managed care fees paid to the FQHC under the Arkansas Medicaid Primary Care Case Management Program (PCCM).  The center may correctly document its PCCM managed care adjustment by reclassifying (from Worksheet A, Line 1, Column 4, to Worksheet A, Lines 58-60, Column 4) an amount equal to PCP managed care fees paid for the months within the cost reporting period.  The center should adequately identify this adjustment on Worksheet A-1.  If the center does not reclassify PCCM managed care costs on the cost report, DMS will perform an adjustment to remove managed care costs from the FQHC costs.</w:t>
      </w:r>
    </w:p>
    <w:p w14:paraId="528EA7DA" w14:textId="77777777" w:rsidR="006D15F7" w:rsidRPr="006B2E8B" w:rsidRDefault="002C53D7" w:rsidP="002C53D7">
      <w:pPr>
        <w:pStyle w:val="CLETTERED"/>
      </w:pPr>
      <w:r w:rsidRPr="006B2E8B">
        <w:t>C.</w:t>
      </w:r>
      <w:r w:rsidRPr="006B2E8B">
        <w:tab/>
      </w:r>
      <w:r w:rsidR="006D15F7" w:rsidRPr="006B2E8B">
        <w:t>The costs of non-related and unallowable FQHC Program services will be identified and eliminated.</w:t>
      </w:r>
    </w:p>
    <w:p w14:paraId="45CA42B1" w14:textId="77777777" w:rsidR="006D15F7" w:rsidRPr="006B2E8B" w:rsidRDefault="002C53D7" w:rsidP="002C53D7">
      <w:pPr>
        <w:pStyle w:val="CLETTERED"/>
      </w:pPr>
      <w:r w:rsidRPr="006B2E8B">
        <w:t>D.</w:t>
      </w:r>
      <w:r w:rsidRPr="006B2E8B">
        <w:tab/>
      </w:r>
      <w:r w:rsidR="006D15F7" w:rsidRPr="006B2E8B">
        <w:t xml:space="preserve">In lieu of determining and eliminating each detailed </w:t>
      </w:r>
      <w:proofErr w:type="gramStart"/>
      <w:r w:rsidR="006D15F7" w:rsidRPr="006B2E8B">
        <w:t>line item</w:t>
      </w:r>
      <w:proofErr w:type="gramEnd"/>
      <w:r w:rsidR="006D15F7" w:rsidRPr="006B2E8B">
        <w:t xml:space="preserve"> cost of these non-related and unallowable costs, the related income may be used to offset the costs if the center can justify and document (calculations to be retained by the center) that the revenue received is reasonably equivalent to the costs incurred.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2CB1" w:rsidRPr="006B2E8B" w14:paraId="614C366A" w14:textId="77777777" w:rsidTr="005404D5">
        <w:trPr>
          <w:cantSplit/>
        </w:trPr>
        <w:tc>
          <w:tcPr>
            <w:tcW w:w="8122" w:type="dxa"/>
            <w:tcBorders>
              <w:top w:val="single" w:sz="6" w:space="0" w:color="FFFFFF"/>
              <w:left w:val="single" w:sz="6" w:space="0" w:color="FFFFFF"/>
              <w:bottom w:val="single" w:sz="6" w:space="0" w:color="FFFFFF"/>
              <w:right w:val="single" w:sz="6" w:space="0" w:color="FFFFFF"/>
            </w:tcBorders>
          </w:tcPr>
          <w:p w14:paraId="7B6D5ABC" w14:textId="77777777" w:rsidR="00392CB1" w:rsidRPr="006B2E8B" w:rsidRDefault="00392CB1" w:rsidP="00392CB1">
            <w:pPr>
              <w:pStyle w:val="chead2"/>
              <w:numPr>
                <w:ilvl w:val="12"/>
                <w:numId w:val="0"/>
              </w:numPr>
              <w:ind w:left="1440" w:hanging="1440"/>
            </w:pPr>
            <w:bookmarkStart w:id="138" w:name="_Toc40064418"/>
            <w:bookmarkStart w:id="139" w:name="_Toc202162655"/>
            <w:r w:rsidRPr="006B2E8B">
              <w:t>251.300</w:t>
            </w:r>
            <w:r w:rsidRPr="006B2E8B">
              <w:tab/>
              <w:t>Calculation of Encounter Cost and Cost Settlement</w:t>
            </w:r>
            <w:bookmarkEnd w:id="138"/>
            <w:bookmarkEnd w:id="139"/>
          </w:p>
        </w:tc>
        <w:tc>
          <w:tcPr>
            <w:tcW w:w="1238" w:type="dxa"/>
            <w:tcBorders>
              <w:top w:val="single" w:sz="6" w:space="0" w:color="FFFFFF"/>
              <w:left w:val="single" w:sz="6" w:space="0" w:color="FFFFFF"/>
              <w:bottom w:val="single" w:sz="6" w:space="0" w:color="FFFFFF"/>
              <w:right w:val="single" w:sz="6" w:space="0" w:color="FFFFFF"/>
            </w:tcBorders>
          </w:tcPr>
          <w:p w14:paraId="2D3EE7B8" w14:textId="77777777" w:rsidR="00392CB1" w:rsidRPr="006B2E8B" w:rsidRDefault="00392CB1" w:rsidP="00392CB1">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43D05FAB" w14:textId="77777777" w:rsidR="00392CB1" w:rsidRPr="006B2E8B" w:rsidRDefault="00392CB1" w:rsidP="005404D5">
      <w:pPr>
        <w:pStyle w:val="CLETTERED"/>
      </w:pPr>
      <w:r w:rsidRPr="006B2E8B">
        <w:t>A.</w:t>
      </w:r>
      <w:r w:rsidRPr="006B2E8B">
        <w:tab/>
        <w:t>Medicaid calculates each center's cost per encounter by dividing the total allowable and reasonable costs included on Worksheet A, by total encounters performed, identified on Worksheet B, column 2.</w:t>
      </w:r>
    </w:p>
    <w:p w14:paraId="2BF2F0D3" w14:textId="77777777" w:rsidR="00392CB1" w:rsidRPr="006B2E8B" w:rsidRDefault="00392CB1" w:rsidP="005404D5">
      <w:pPr>
        <w:pStyle w:val="CLETTERED"/>
      </w:pPr>
      <w:r w:rsidRPr="006B2E8B">
        <w:t>B.</w:t>
      </w:r>
      <w:r w:rsidRPr="006B2E8B">
        <w:tab/>
        <w:t xml:space="preserve">Multiplying the cost per encounter by the number of paid Medicaid encounters yields the cost reimbursement amount </w:t>
      </w:r>
      <w:proofErr w:type="gramStart"/>
      <w:r w:rsidRPr="006B2E8B">
        <w:t>due</w:t>
      </w:r>
      <w:proofErr w:type="gramEnd"/>
      <w:r w:rsidRPr="006B2E8B">
        <w:t xml:space="preserve"> the center.</w:t>
      </w:r>
    </w:p>
    <w:p w14:paraId="220D8FFE" w14:textId="77777777" w:rsidR="00392CB1" w:rsidRPr="006B2E8B" w:rsidRDefault="00392CB1" w:rsidP="005404D5">
      <w:pPr>
        <w:pStyle w:val="CLETTERED"/>
      </w:pPr>
      <w:r w:rsidRPr="006B2E8B">
        <w:t>C.</w:t>
      </w:r>
      <w:r w:rsidRPr="006B2E8B">
        <w:tab/>
        <w:t xml:space="preserve">The cost reimbursement </w:t>
      </w:r>
      <w:proofErr w:type="gramStart"/>
      <w:r w:rsidRPr="006B2E8B">
        <w:t>amount</w:t>
      </w:r>
      <w:proofErr w:type="gramEnd"/>
      <w:r w:rsidRPr="006B2E8B">
        <w:t xml:space="preserve"> </w:t>
      </w:r>
      <w:proofErr w:type="gramStart"/>
      <w:r w:rsidRPr="006B2E8B">
        <w:t>due</w:t>
      </w:r>
      <w:proofErr w:type="gramEnd"/>
      <w:r w:rsidRPr="006B2E8B">
        <w:t xml:space="preserve"> the center, minus prior Medicaid payments for dates of service within the cost reporting period, equals the cost settlement amount.</w:t>
      </w:r>
    </w:p>
    <w:p w14:paraId="7D59C5BB" w14:textId="77777777" w:rsidR="00392CB1" w:rsidRPr="006B2E8B" w:rsidRDefault="00392CB1" w:rsidP="005404D5">
      <w:pPr>
        <w:pStyle w:val="CLETTERED"/>
      </w:pPr>
      <w:r w:rsidRPr="006B2E8B">
        <w:lastRenderedPageBreak/>
        <w:t>D.</w:t>
      </w:r>
      <w:r w:rsidRPr="006B2E8B">
        <w:tab/>
        <w:t>Medicaid will make a tentative cost settlement, remitting 80% of the cost settlement amount, pending the final Medicare cost settlement.</w:t>
      </w:r>
    </w:p>
    <w:p w14:paraId="78039B8E" w14:textId="77777777" w:rsidR="00392CB1" w:rsidRPr="006B2E8B" w:rsidRDefault="00392CB1" w:rsidP="005404D5">
      <w:pPr>
        <w:pStyle w:val="CLETTERED"/>
      </w:pPr>
      <w:r w:rsidRPr="006B2E8B">
        <w:t>E.</w:t>
      </w:r>
      <w:r w:rsidRPr="006B2E8B">
        <w:tab/>
        <w:t xml:space="preserve">The Medicaid encounter cost calculated in part A, above, becomes the new interim encounter rate, effective for dates of service after the last day of the cost report period under review.  The Medicaid encounter cost per </w:t>
      </w:r>
      <w:proofErr w:type="gramStart"/>
      <w:r w:rsidRPr="006B2E8B">
        <w:t>each year's</w:t>
      </w:r>
      <w:proofErr w:type="gramEnd"/>
      <w:r w:rsidRPr="006B2E8B">
        <w:t xml:space="preserve"> cost report becomes the interim encounter rate for the succeeding year.</w:t>
      </w:r>
    </w:p>
    <w:p w14:paraId="3D7383E8" w14:textId="77777777" w:rsidR="00392CB1" w:rsidRPr="006B2E8B" w:rsidRDefault="00392CB1" w:rsidP="005404D5">
      <w:pPr>
        <w:pStyle w:val="CLETTERED"/>
      </w:pPr>
      <w:r w:rsidRPr="006B2E8B">
        <w:t>F.</w:t>
      </w:r>
      <w:r w:rsidRPr="006B2E8B">
        <w:tab/>
        <w:t>For dates of service between the close of the audited fiscal year and the completion of the Medicaid audit, Medicaid will initiate a mass adjustment of payments made at the previous encounter rate, remitting to the center the difference of: the new interim encounter rate, multiplied by the number of paid encounters, minus the sum of the prior payments.</w:t>
      </w:r>
    </w:p>
    <w:p w14:paraId="139835B9" w14:textId="77777777" w:rsidR="00392CB1" w:rsidRPr="006B2E8B" w:rsidRDefault="00392CB1" w:rsidP="005404D5">
      <w:pPr>
        <w:pStyle w:val="CLETTERED"/>
      </w:pPr>
      <w:r w:rsidRPr="006B2E8B">
        <w:t>G.</w:t>
      </w:r>
      <w:r w:rsidRPr="006B2E8B">
        <w:tab/>
        <w:t>Upon the final Medicare cost settlement, Medicaid will reconcile its calculations with those of Medicare and will pay the center the remainder of the Medicaid cost settlement, as adjusted per that reconciliation.  This will be the final Medicaid cost settlement.</w:t>
      </w:r>
    </w:p>
    <w:p w14:paraId="5151B6E6" w14:textId="77777777" w:rsidR="00392CB1" w:rsidRPr="006B2E8B" w:rsidRDefault="00392CB1" w:rsidP="005404D5">
      <w:pPr>
        <w:pStyle w:val="CLETTERED"/>
      </w:pPr>
      <w:r w:rsidRPr="006B2E8B">
        <w:t>H.</w:t>
      </w:r>
      <w:r w:rsidRPr="006B2E8B">
        <w:tab/>
        <w:t xml:space="preserve">At the time of the final Medicaid cost settlement, Medicaid will </w:t>
      </w:r>
      <w:proofErr w:type="gramStart"/>
      <w:r w:rsidRPr="006B2E8B">
        <w:t>also cost</w:t>
      </w:r>
      <w:proofErr w:type="gramEnd"/>
      <w:r w:rsidRPr="006B2E8B">
        <w:t xml:space="preserve"> settle for paid dual-eligible (Medicare/Medicaid beneficiary) encounters at 20% of the final Medicare-settled encounter rate.</w:t>
      </w:r>
    </w:p>
    <w:p w14:paraId="46E27457" w14:textId="77777777" w:rsidR="00392CB1" w:rsidRPr="006B2E8B" w:rsidRDefault="00392CB1" w:rsidP="00392CB1">
      <w:pPr>
        <w:pStyle w:val="CLETTERED"/>
      </w:pPr>
      <w:r w:rsidRPr="006B2E8B">
        <w:t>I.</w:t>
      </w:r>
      <w:r w:rsidRPr="006B2E8B">
        <w:tab/>
        <w:t>See Section 253.000 for instructions for filing Form CMS-222-92 (formerly HCFA-222-92).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58BFE0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895FED3" w14:textId="77777777" w:rsidR="006D15F7" w:rsidRPr="006B2E8B" w:rsidRDefault="006D15F7">
            <w:pPr>
              <w:pStyle w:val="chead2"/>
              <w:numPr>
                <w:ilvl w:val="12"/>
                <w:numId w:val="0"/>
              </w:numPr>
              <w:ind w:left="1440" w:hanging="1440"/>
            </w:pPr>
            <w:bookmarkStart w:id="140" w:name="_Toc40064419"/>
            <w:bookmarkStart w:id="141" w:name="_Toc202162656"/>
            <w:r w:rsidRPr="006B2E8B">
              <w:t>251.400</w:t>
            </w:r>
            <w:r w:rsidRPr="006B2E8B">
              <w:tab/>
              <w:t xml:space="preserve">Cost Settling for Other Ambulatory Services Encounters (for Dates of Service before </w:t>
            </w:r>
            <w:smartTag w:uri="urn:schemas-microsoft-com:office:smarttags" w:element="date">
              <w:smartTagPr>
                <w:attr w:name="Month" w:val="1"/>
                <w:attr w:name="Day" w:val="1"/>
                <w:attr w:name="Year" w:val="2001"/>
              </w:smartTagPr>
              <w:r w:rsidRPr="006B2E8B">
                <w:t>January 1, 2001</w:t>
              </w:r>
            </w:smartTag>
            <w:r w:rsidRPr="006B2E8B">
              <w:t>)</w:t>
            </w:r>
            <w:bookmarkEnd w:id="140"/>
            <w:bookmarkEnd w:id="141"/>
          </w:p>
        </w:tc>
        <w:tc>
          <w:tcPr>
            <w:tcW w:w="1238" w:type="dxa"/>
            <w:tcBorders>
              <w:top w:val="single" w:sz="6" w:space="0" w:color="FFFFFF"/>
              <w:left w:val="single" w:sz="6" w:space="0" w:color="FFFFFF"/>
              <w:bottom w:val="single" w:sz="6" w:space="0" w:color="FFFFFF"/>
              <w:right w:val="single" w:sz="6" w:space="0" w:color="FFFFFF"/>
            </w:tcBorders>
          </w:tcPr>
          <w:p w14:paraId="2D5DE0F6"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69D4961" w14:textId="77777777" w:rsidR="006D15F7" w:rsidRPr="006B2E8B" w:rsidRDefault="006D15F7">
      <w:pPr>
        <w:pStyle w:val="ctext"/>
        <w:numPr>
          <w:ilvl w:val="12"/>
          <w:numId w:val="0"/>
        </w:numPr>
        <w:ind w:left="360"/>
      </w:pPr>
      <w:r w:rsidRPr="006B2E8B">
        <w:t xml:space="preserve">Medicaid will reimburse </w:t>
      </w:r>
      <w:proofErr w:type="gramStart"/>
      <w:r w:rsidRPr="006B2E8B">
        <w:t>the FQHC</w:t>
      </w:r>
      <w:proofErr w:type="gramEnd"/>
      <w:r w:rsidRPr="006B2E8B">
        <w:t xml:space="preserve"> for "other ambulatory services" encounters within the program covering each </w:t>
      </w:r>
      <w:proofErr w:type="gramStart"/>
      <w:r w:rsidRPr="006B2E8B">
        <w:t>particular service</w:t>
      </w:r>
      <w:proofErr w:type="gramEnd"/>
      <w:r w:rsidRPr="006B2E8B">
        <w:t xml:space="preserve">, if the FQHC is enrolled as a Medicaid provider of that service.  The center will bill for dental services under the Dental Program, visual services under the Visual Care Program, etc.  Interim reimbursement for other ambulatory services encounters is at the lesser of the billed charge or the established Medicaid maximum allowable for the service within the program in which it is covered.  Medicaid </w:t>
      </w:r>
      <w:proofErr w:type="gramStart"/>
      <w:r w:rsidRPr="006B2E8B">
        <w:t>will cost</w:t>
      </w:r>
      <w:proofErr w:type="gramEnd"/>
      <w:r w:rsidRPr="006B2E8B">
        <w:t xml:space="preserve"> settle for the other ambulatory services encounters at the time of the cost settlement for the FQHC core service encounters.  Cost settlement per other ambulatory services encounter will be at the same rate as that for core service encounters.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B0EE7F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B14EB3A" w14:textId="77777777" w:rsidR="006D15F7" w:rsidRPr="006B2E8B" w:rsidRDefault="006D15F7">
            <w:pPr>
              <w:pStyle w:val="chead2"/>
              <w:numPr>
                <w:ilvl w:val="12"/>
                <w:numId w:val="0"/>
              </w:numPr>
              <w:ind w:left="1440" w:hanging="1440"/>
            </w:pPr>
            <w:bookmarkStart w:id="142" w:name="_Toc40064420"/>
            <w:bookmarkStart w:id="143" w:name="_Toc202162657"/>
            <w:r w:rsidRPr="006B2E8B">
              <w:t>251.500</w:t>
            </w:r>
            <w:r w:rsidRPr="006B2E8B">
              <w:tab/>
              <w:t xml:space="preserve">Cost Settling for Services Reported by CPT or HCPCS Procedure Code Other Than the FQHC Encounter Code (for Dates of Service before </w:t>
            </w:r>
            <w:smartTag w:uri="urn:schemas-microsoft-com:office:smarttags" w:element="date">
              <w:smartTagPr>
                <w:attr w:name="Month" w:val="1"/>
                <w:attr w:name="Day" w:val="1"/>
                <w:attr w:name="Year" w:val="2001"/>
              </w:smartTagPr>
              <w:r w:rsidRPr="006B2E8B">
                <w:t>January 1, 2001</w:t>
              </w:r>
            </w:smartTag>
            <w:r w:rsidRPr="006B2E8B">
              <w:t>)</w:t>
            </w:r>
            <w:bookmarkEnd w:id="142"/>
            <w:bookmarkEnd w:id="143"/>
          </w:p>
        </w:tc>
        <w:tc>
          <w:tcPr>
            <w:tcW w:w="1238" w:type="dxa"/>
            <w:tcBorders>
              <w:top w:val="single" w:sz="6" w:space="0" w:color="FFFFFF"/>
              <w:left w:val="single" w:sz="6" w:space="0" w:color="FFFFFF"/>
              <w:bottom w:val="single" w:sz="6" w:space="0" w:color="FFFFFF"/>
              <w:right w:val="single" w:sz="6" w:space="0" w:color="FFFFFF"/>
            </w:tcBorders>
          </w:tcPr>
          <w:p w14:paraId="2C90D382"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15E68C83" w14:textId="77777777" w:rsidR="006D15F7" w:rsidRPr="006B2E8B" w:rsidRDefault="006D15F7">
      <w:pPr>
        <w:pStyle w:val="ctext"/>
        <w:numPr>
          <w:ilvl w:val="12"/>
          <w:numId w:val="0"/>
        </w:numPr>
        <w:ind w:left="360"/>
      </w:pPr>
      <w:r w:rsidRPr="006B2E8B">
        <w:t>Arkansas Medicaid initially reimburses FQHCs for some procedures (including some family-planning-related ancillary services) by means of a fee-for-service methodology.  They are then cost-settled as encounters (or incident to encounters as appropriate) at the time of Medicaid cost settlement.  See Section 260.000 for procedure codes and billing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13978B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8A92886" w14:textId="77777777" w:rsidR="006D15F7" w:rsidRPr="006B2E8B" w:rsidRDefault="006D15F7">
            <w:pPr>
              <w:pStyle w:val="chead2"/>
              <w:numPr>
                <w:ilvl w:val="12"/>
                <w:numId w:val="0"/>
              </w:numPr>
              <w:ind w:left="1440" w:hanging="1440"/>
            </w:pPr>
            <w:bookmarkStart w:id="144" w:name="_Toc40064421"/>
            <w:bookmarkStart w:id="145" w:name="_Toc202162658"/>
            <w:r w:rsidRPr="006B2E8B">
              <w:t>251.510</w:t>
            </w:r>
            <w:r w:rsidRPr="006B2E8B">
              <w:tab/>
              <w:t xml:space="preserve">Cost Settling for Vaccines for Children (VFC) Program Immunization Administration (for Dates of Service before </w:t>
            </w:r>
            <w:smartTag w:uri="urn:schemas-microsoft-com:office:smarttags" w:element="date">
              <w:smartTagPr>
                <w:attr w:name="Month" w:val="1"/>
                <w:attr w:name="Day" w:val="1"/>
                <w:attr w:name="Year" w:val="2001"/>
              </w:smartTagPr>
              <w:r w:rsidRPr="006B2E8B">
                <w:t>January 1, 2001</w:t>
              </w:r>
            </w:smartTag>
            <w:r w:rsidRPr="006B2E8B">
              <w:t>)</w:t>
            </w:r>
            <w:bookmarkEnd w:id="144"/>
            <w:bookmarkEnd w:id="145"/>
          </w:p>
        </w:tc>
        <w:tc>
          <w:tcPr>
            <w:tcW w:w="1238" w:type="dxa"/>
            <w:tcBorders>
              <w:top w:val="single" w:sz="6" w:space="0" w:color="FFFFFF"/>
              <w:left w:val="single" w:sz="6" w:space="0" w:color="FFFFFF"/>
              <w:bottom w:val="single" w:sz="6" w:space="0" w:color="FFFFFF"/>
              <w:right w:val="single" w:sz="6" w:space="0" w:color="FFFFFF"/>
            </w:tcBorders>
          </w:tcPr>
          <w:p w14:paraId="1C84799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4D7C1D1" w14:textId="77777777" w:rsidR="006D15F7" w:rsidRPr="006B2E8B" w:rsidRDefault="006D15F7">
      <w:pPr>
        <w:pStyle w:val="ctext"/>
        <w:numPr>
          <w:ilvl w:val="12"/>
          <w:numId w:val="0"/>
        </w:numPr>
        <w:ind w:left="360"/>
      </w:pPr>
      <w:r w:rsidRPr="006B2E8B">
        <w:t>Medicaid requires FQHCs to report VFC immunization administration by procedure code and applicable modifier.  Medicaid pays interim reimbursement to FQHCs for the administration.  The vaccine administration is incident to an encounter and is cost settled as such.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6CE114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4334C83" w14:textId="77777777" w:rsidR="006D15F7" w:rsidRPr="006B2E8B" w:rsidRDefault="006D15F7">
            <w:pPr>
              <w:pStyle w:val="chead2"/>
              <w:numPr>
                <w:ilvl w:val="12"/>
                <w:numId w:val="0"/>
              </w:numPr>
              <w:ind w:left="1440" w:hanging="1440"/>
            </w:pPr>
            <w:bookmarkStart w:id="146" w:name="_Toc40064422"/>
            <w:bookmarkStart w:id="147" w:name="_Toc202162659"/>
            <w:r w:rsidRPr="006B2E8B">
              <w:t>252.000</w:t>
            </w:r>
            <w:r w:rsidRPr="006B2E8B">
              <w:tab/>
              <w:t xml:space="preserve">Reimbursement Methodologies for Dates of Service on and after </w:t>
            </w:r>
            <w:smartTag w:uri="urn:schemas-microsoft-com:office:smarttags" w:element="date">
              <w:smartTagPr>
                <w:attr w:name="Month" w:val="1"/>
                <w:attr w:name="Day" w:val="1"/>
                <w:attr w:name="Year" w:val="2001"/>
              </w:smartTagPr>
              <w:r w:rsidRPr="006B2E8B">
                <w:t>January 1, 2001</w:t>
              </w:r>
            </w:smartTag>
            <w:bookmarkEnd w:id="146"/>
            <w:bookmarkEnd w:id="147"/>
          </w:p>
        </w:tc>
        <w:tc>
          <w:tcPr>
            <w:tcW w:w="1238" w:type="dxa"/>
            <w:tcBorders>
              <w:top w:val="single" w:sz="6" w:space="0" w:color="FFFFFF"/>
              <w:left w:val="single" w:sz="6" w:space="0" w:color="FFFFFF"/>
              <w:bottom w:val="single" w:sz="6" w:space="0" w:color="FFFFFF"/>
              <w:right w:val="single" w:sz="6" w:space="0" w:color="FFFFFF"/>
            </w:tcBorders>
          </w:tcPr>
          <w:p w14:paraId="4F0B126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A7A7191" w14:textId="77777777" w:rsidR="006D15F7" w:rsidRPr="006B2E8B" w:rsidRDefault="006D15F7">
      <w:pPr>
        <w:pStyle w:val="ctext"/>
        <w:numPr>
          <w:ilvl w:val="12"/>
          <w:numId w:val="0"/>
        </w:numPr>
        <w:ind w:left="360"/>
      </w:pPr>
      <w:r w:rsidRPr="006B2E8B">
        <w:t xml:space="preserve">Effective for dates of service on and after January 1, 2001, Federally Qualified Health Centers (FQHCs) will be reimbursed under the prospective payment system (PPS) described in Sections </w:t>
      </w:r>
      <w:r w:rsidRPr="006B2E8B">
        <w:lastRenderedPageBreak/>
        <w:t>252.100 through 252.141, unless they agree to the alternative payment methodology described in Sections 252.200 through 252.241.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462BEE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663A351" w14:textId="77777777" w:rsidR="006D15F7" w:rsidRPr="006B2E8B" w:rsidRDefault="006D15F7">
            <w:pPr>
              <w:pStyle w:val="chead2"/>
              <w:numPr>
                <w:ilvl w:val="12"/>
                <w:numId w:val="0"/>
              </w:numPr>
              <w:ind w:left="1440" w:hanging="1440"/>
            </w:pPr>
            <w:bookmarkStart w:id="148" w:name="_Toc40064423"/>
            <w:bookmarkStart w:id="149" w:name="_Toc202162660"/>
            <w:r w:rsidRPr="006B2E8B">
              <w:t>252.100</w:t>
            </w:r>
            <w:r w:rsidRPr="006B2E8B">
              <w:tab/>
              <w:t xml:space="preserve">Prospective Payment System (PPS) Methodology for Dates of Service on and after </w:t>
            </w:r>
            <w:smartTag w:uri="urn:schemas-microsoft-com:office:smarttags" w:element="date">
              <w:smartTagPr>
                <w:attr w:name="Month" w:val="1"/>
                <w:attr w:name="Day" w:val="1"/>
                <w:attr w:name="Year" w:val="2001"/>
              </w:smartTagPr>
              <w:r w:rsidRPr="006B2E8B">
                <w:t>January 1, 2001</w:t>
              </w:r>
            </w:smartTag>
            <w:bookmarkEnd w:id="148"/>
            <w:bookmarkEnd w:id="149"/>
          </w:p>
        </w:tc>
        <w:tc>
          <w:tcPr>
            <w:tcW w:w="1238" w:type="dxa"/>
            <w:tcBorders>
              <w:top w:val="single" w:sz="6" w:space="0" w:color="FFFFFF"/>
              <w:left w:val="single" w:sz="6" w:space="0" w:color="FFFFFF"/>
              <w:bottom w:val="single" w:sz="6" w:space="0" w:color="FFFFFF"/>
              <w:right w:val="single" w:sz="6" w:space="0" w:color="FFFFFF"/>
            </w:tcBorders>
          </w:tcPr>
          <w:p w14:paraId="577D1385"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0B42080C" w14:textId="77777777" w:rsidR="006D15F7" w:rsidRPr="006B2E8B" w:rsidRDefault="00832B07" w:rsidP="00832B07">
      <w:pPr>
        <w:pStyle w:val="CLETTERED"/>
      </w:pPr>
      <w:r w:rsidRPr="006B2E8B">
        <w:t>A.</w:t>
      </w:r>
      <w:r w:rsidRPr="006B2E8B">
        <w:tab/>
      </w:r>
      <w:r w:rsidR="006D15F7" w:rsidRPr="006B2E8B">
        <w:t xml:space="preserve">Effective for dates of service on and after </w:t>
      </w:r>
      <w:smartTag w:uri="urn:schemas-microsoft-com:office:smarttags" w:element="date">
        <w:smartTagPr>
          <w:attr w:name="Month" w:val="1"/>
          <w:attr w:name="Day" w:val="1"/>
          <w:attr w:name="Year" w:val="2001"/>
        </w:smartTagPr>
        <w:r w:rsidR="006D15F7" w:rsidRPr="006B2E8B">
          <w:t>January 1, 2001</w:t>
        </w:r>
      </w:smartTag>
      <w:r w:rsidR="006D15F7" w:rsidRPr="006B2E8B">
        <w:t>, payments to Federally Qualified Health Centers (FQHCs) for Medicaid-covered services are made under a prospective payment system (PPS) on a per encounter basis.</w:t>
      </w:r>
    </w:p>
    <w:p w14:paraId="7F3B7851" w14:textId="77777777" w:rsidR="006D15F7" w:rsidRPr="006B2E8B" w:rsidRDefault="00832B07" w:rsidP="00832B07">
      <w:pPr>
        <w:pStyle w:val="cnumbered"/>
      </w:pPr>
      <w:r w:rsidRPr="006B2E8B">
        <w:t>1.</w:t>
      </w:r>
      <w:r w:rsidRPr="006B2E8B">
        <w:tab/>
      </w:r>
      <w:r w:rsidR="006D15F7" w:rsidRPr="006B2E8B">
        <w:t>FQHCs may be reimbursed under the method described in Sections 252.100 through 252.141 or they may execute a written agreement with the Division of Medical Services to elect the alternative methodology described in Sections 252.200 through 252.241.</w:t>
      </w:r>
    </w:p>
    <w:p w14:paraId="2783B1F7" w14:textId="77777777" w:rsidR="006D15F7" w:rsidRPr="006B2E8B" w:rsidRDefault="00832B07" w:rsidP="00832B07">
      <w:pPr>
        <w:pStyle w:val="cnumbered"/>
      </w:pPr>
      <w:r w:rsidRPr="006B2E8B">
        <w:t>2.</w:t>
      </w:r>
      <w:r w:rsidRPr="006B2E8B">
        <w:tab/>
      </w:r>
      <w:r w:rsidR="006D15F7" w:rsidRPr="006B2E8B">
        <w:t xml:space="preserve">An encounter is </w:t>
      </w:r>
      <w:proofErr w:type="gramStart"/>
      <w:r w:rsidR="006D15F7" w:rsidRPr="006B2E8B">
        <w:t>a face</w:t>
      </w:r>
      <w:proofErr w:type="gramEnd"/>
      <w:r w:rsidR="006D15F7" w:rsidRPr="006B2E8B">
        <w:t>-to-face contact between a patient of an FQHC and any health professional whose services are reimbursed under the Arkansas Title XIX (Medicaid) State Plan.</w:t>
      </w:r>
    </w:p>
    <w:p w14:paraId="024F11FF" w14:textId="77777777" w:rsidR="006D15F7" w:rsidRPr="006B2E8B" w:rsidRDefault="00832B07" w:rsidP="00832B07">
      <w:pPr>
        <w:pStyle w:val="cletteredindent"/>
      </w:pPr>
      <w:r w:rsidRPr="006B2E8B">
        <w:t>a.</w:t>
      </w:r>
      <w:r w:rsidRPr="006B2E8B">
        <w:tab/>
      </w:r>
      <w:r w:rsidR="006D15F7" w:rsidRPr="006B2E8B">
        <w:t xml:space="preserve">Contacts with more than one health professional and multiple contacts with the same health professional that take place on the same day and at a single location constitute a single encounter except when the patient, after the first encounter, suffers illness or </w:t>
      </w:r>
      <w:proofErr w:type="gramStart"/>
      <w:r w:rsidR="006D15F7" w:rsidRPr="006B2E8B">
        <w:t>injury</w:t>
      </w:r>
      <w:proofErr w:type="gramEnd"/>
      <w:r w:rsidR="006D15F7" w:rsidRPr="006B2E8B">
        <w:t xml:space="preserve"> requiring additional diagnosis or treatment.</w:t>
      </w:r>
    </w:p>
    <w:p w14:paraId="2E721F22" w14:textId="77777777" w:rsidR="006D15F7" w:rsidRPr="006B2E8B" w:rsidRDefault="00832B07" w:rsidP="00832B07">
      <w:pPr>
        <w:pStyle w:val="cletteredindent"/>
      </w:pPr>
      <w:r w:rsidRPr="006B2E8B">
        <w:t>b.</w:t>
      </w:r>
      <w:r w:rsidRPr="006B2E8B">
        <w:tab/>
      </w:r>
      <w:r w:rsidR="006D15F7" w:rsidRPr="006B2E8B">
        <w:t>A patient of the FQHC may have a separate family planning encounter during the same visit to the FQHC for a core service encounter; however, a family planning visit is not reimbursed separately when it takes place on the same day as a family planning surgical procedure.</w:t>
      </w:r>
    </w:p>
    <w:p w14:paraId="6B21175F" w14:textId="77777777" w:rsidR="006D15F7" w:rsidRPr="006B2E8B" w:rsidRDefault="00832B07" w:rsidP="00832B07">
      <w:pPr>
        <w:pStyle w:val="cletteredindent"/>
      </w:pPr>
      <w:r w:rsidRPr="006B2E8B">
        <w:t>c.</w:t>
      </w:r>
      <w:r w:rsidRPr="006B2E8B">
        <w:tab/>
      </w:r>
      <w:r w:rsidR="006D15F7" w:rsidRPr="006B2E8B">
        <w:t>An FQHC encounter is not reimbursed separately on the same day as an obstetric or gynecologic procedure that the FQHC reports by CPT procedure code unless the encounter is for a different disorder or condition.</w:t>
      </w:r>
    </w:p>
    <w:p w14:paraId="6F8A74F2" w14:textId="77777777" w:rsidR="006D15F7" w:rsidRPr="006B2E8B" w:rsidRDefault="00832B07" w:rsidP="00832B07">
      <w:pPr>
        <w:pStyle w:val="CLETTERED"/>
      </w:pPr>
      <w:r w:rsidRPr="006B2E8B">
        <w:t>B.</w:t>
      </w:r>
      <w:r w:rsidRPr="006B2E8B">
        <w:tab/>
      </w:r>
      <w:r w:rsidR="006D15F7" w:rsidRPr="006B2E8B">
        <w:t>The PPS per encounter rate for each center is calculated based on 100% of the average of the center's reasonable costs for providing Medicaid-covered services as determined from audited cost reports with ending dates in calendar year 1999 and calendar year 2000.</w:t>
      </w:r>
    </w:p>
    <w:p w14:paraId="2DB5553C" w14:textId="77777777" w:rsidR="006D15F7" w:rsidRPr="006B2E8B" w:rsidRDefault="00832B07" w:rsidP="00832B07">
      <w:pPr>
        <w:pStyle w:val="cnumbered"/>
      </w:pPr>
      <w:r w:rsidRPr="006B2E8B">
        <w:t>1.</w:t>
      </w:r>
      <w:r w:rsidRPr="006B2E8B">
        <w:tab/>
      </w:r>
      <w:r w:rsidR="006D15F7" w:rsidRPr="006B2E8B">
        <w:t>Reasonable costs are defined as those costs which are allowable under Medicare cost principles outlined in 42 CFR 413.</w:t>
      </w:r>
    </w:p>
    <w:p w14:paraId="2093B93D" w14:textId="77777777" w:rsidR="006D15F7" w:rsidRPr="006B2E8B" w:rsidRDefault="00832B07" w:rsidP="00832B07">
      <w:pPr>
        <w:pStyle w:val="cnumbered"/>
      </w:pPr>
      <w:r w:rsidRPr="006B2E8B">
        <w:t>2.</w:t>
      </w:r>
      <w:r w:rsidRPr="006B2E8B">
        <w:tab/>
      </w:r>
      <w:r w:rsidR="006D15F7" w:rsidRPr="006B2E8B">
        <w:t>Cost reports used for rate setting purposes must cover a fiscal period of at least a full six months.</w:t>
      </w:r>
    </w:p>
    <w:p w14:paraId="5E3615DA" w14:textId="77777777" w:rsidR="006D15F7" w:rsidRPr="006B2E8B" w:rsidRDefault="00832B07" w:rsidP="00832B07">
      <w:pPr>
        <w:pStyle w:val="cnumbered"/>
      </w:pPr>
      <w:r w:rsidRPr="006B2E8B">
        <w:t>3.</w:t>
      </w:r>
      <w:r w:rsidRPr="006B2E8B">
        <w:tab/>
      </w:r>
      <w:r w:rsidR="006D15F7" w:rsidRPr="006B2E8B">
        <w:t xml:space="preserve">If a provider has more than one cost report period ending in the same calendar year, Arkansas Medicaid uses the most recent cost report to calculate rates.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B1E5BB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BF12AFA" w14:textId="77777777" w:rsidR="006D15F7" w:rsidRPr="006B2E8B" w:rsidRDefault="006D15F7">
            <w:pPr>
              <w:pStyle w:val="chead2"/>
              <w:numPr>
                <w:ilvl w:val="12"/>
                <w:numId w:val="0"/>
              </w:numPr>
              <w:ind w:left="1440" w:hanging="1440"/>
            </w:pPr>
            <w:bookmarkStart w:id="150" w:name="_Toc40064424"/>
            <w:bookmarkStart w:id="151" w:name="_Toc202162661"/>
            <w:r w:rsidRPr="006B2E8B">
              <w:t>252.110</w:t>
            </w:r>
            <w:r w:rsidRPr="006B2E8B">
              <w:tab/>
              <w:t>Calculation of PPS Per Encounter Rate</w:t>
            </w:r>
            <w:bookmarkEnd w:id="150"/>
            <w:bookmarkEnd w:id="151"/>
          </w:p>
        </w:tc>
        <w:tc>
          <w:tcPr>
            <w:tcW w:w="1238" w:type="dxa"/>
            <w:tcBorders>
              <w:top w:val="single" w:sz="6" w:space="0" w:color="FFFFFF"/>
              <w:left w:val="single" w:sz="6" w:space="0" w:color="FFFFFF"/>
              <w:bottom w:val="single" w:sz="6" w:space="0" w:color="FFFFFF"/>
              <w:right w:val="single" w:sz="6" w:space="0" w:color="FFFFFF"/>
            </w:tcBorders>
          </w:tcPr>
          <w:p w14:paraId="4E0AB068"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26B1AF29" w14:textId="77777777" w:rsidR="006D15F7" w:rsidRPr="006B2E8B" w:rsidRDefault="00832B07" w:rsidP="00832B07">
      <w:pPr>
        <w:pStyle w:val="CLETTERED"/>
      </w:pPr>
      <w:r w:rsidRPr="006B2E8B">
        <w:t>A.</w:t>
      </w:r>
      <w:r w:rsidRPr="006B2E8B">
        <w:tab/>
      </w:r>
      <w:r w:rsidR="006D15F7" w:rsidRPr="006B2E8B">
        <w:t xml:space="preserve">PPS per encounter rates </w:t>
      </w:r>
      <w:proofErr w:type="gramStart"/>
      <w:r w:rsidR="006D15F7" w:rsidRPr="006B2E8B">
        <w:t>are</w:t>
      </w:r>
      <w:proofErr w:type="gramEnd"/>
      <w:r w:rsidR="006D15F7" w:rsidRPr="006B2E8B">
        <w:t xml:space="preserve"> calculated by adding the total audited allowable costs as determined from the 1999 and 2000 cost reports and dividing the total by the total audited encounters for the two periods.</w:t>
      </w:r>
    </w:p>
    <w:p w14:paraId="09998167" w14:textId="77777777" w:rsidR="006D15F7" w:rsidRPr="006B2E8B" w:rsidRDefault="00832B07" w:rsidP="00832B07">
      <w:pPr>
        <w:pStyle w:val="cnumbered"/>
      </w:pPr>
      <w:r w:rsidRPr="006B2E8B">
        <w:t>1.</w:t>
      </w:r>
      <w:r w:rsidRPr="006B2E8B">
        <w:tab/>
      </w:r>
      <w:r w:rsidR="006D15F7" w:rsidRPr="006B2E8B">
        <w:t>Allowable costs for each period used to set the PPS rate include applicable adjustments in accordance with the Medicare Economic Index (MEI) for primary care services, an index compiled and published by the Centers for Medicare and Medicaid Services.</w:t>
      </w:r>
    </w:p>
    <w:p w14:paraId="61060729" w14:textId="77777777" w:rsidR="006D15F7" w:rsidRPr="006B2E8B" w:rsidRDefault="00832B07" w:rsidP="00832B07">
      <w:pPr>
        <w:pStyle w:val="cnumbered"/>
      </w:pPr>
      <w:r w:rsidRPr="006B2E8B">
        <w:t>2.</w:t>
      </w:r>
      <w:r w:rsidRPr="006B2E8B">
        <w:tab/>
      </w:r>
      <w:r w:rsidR="006D15F7" w:rsidRPr="006B2E8B">
        <w:t xml:space="preserve">If audited cost report information was available, interim rates were implemented as of </w:t>
      </w:r>
      <w:smartTag w:uri="urn:schemas-microsoft-com:office:smarttags" w:element="date">
        <w:smartTagPr>
          <w:attr w:name="Month" w:val="1"/>
          <w:attr w:name="Day" w:val="1"/>
          <w:attr w:name="Year" w:val="2001"/>
        </w:smartTagPr>
        <w:r w:rsidR="006D15F7" w:rsidRPr="006B2E8B">
          <w:t>January 1, 2001</w:t>
        </w:r>
      </w:smartTag>
      <w:r w:rsidR="006D15F7" w:rsidRPr="006B2E8B">
        <w:t>, at the average cost per encounter as determined from the two most recent provider cost reports.</w:t>
      </w:r>
    </w:p>
    <w:p w14:paraId="3F4D9952" w14:textId="77777777" w:rsidR="006D15F7" w:rsidRPr="006B2E8B" w:rsidRDefault="00832B07" w:rsidP="00832B07">
      <w:pPr>
        <w:pStyle w:val="cnumbered"/>
      </w:pPr>
      <w:r w:rsidRPr="006B2E8B">
        <w:t>3.</w:t>
      </w:r>
      <w:r w:rsidRPr="006B2E8B">
        <w:tab/>
      </w:r>
      <w:r w:rsidR="006D15F7" w:rsidRPr="006B2E8B">
        <w:t xml:space="preserve">Interim rates are calculated by adding the per-encounter costs </w:t>
      </w:r>
      <w:proofErr w:type="gramStart"/>
      <w:r w:rsidR="006D15F7" w:rsidRPr="006B2E8B">
        <w:t>from</w:t>
      </w:r>
      <w:proofErr w:type="gramEnd"/>
      <w:r w:rsidR="006D15F7" w:rsidRPr="006B2E8B">
        <w:t xml:space="preserve"> each of the two periods and dividing the total by two.</w:t>
      </w:r>
    </w:p>
    <w:p w14:paraId="1EFFA812" w14:textId="77777777" w:rsidR="006D15F7" w:rsidRPr="006B2E8B" w:rsidRDefault="00832B07" w:rsidP="00832B07">
      <w:pPr>
        <w:pStyle w:val="cnumbered"/>
      </w:pPr>
      <w:r w:rsidRPr="006B2E8B">
        <w:lastRenderedPageBreak/>
        <w:t>4.</w:t>
      </w:r>
      <w:r w:rsidRPr="006B2E8B">
        <w:tab/>
      </w:r>
      <w:r w:rsidR="006D15F7" w:rsidRPr="006B2E8B">
        <w:t xml:space="preserve">Interim rates are retroactively adjusted to </w:t>
      </w:r>
      <w:smartTag w:uri="urn:schemas-microsoft-com:office:smarttags" w:element="date">
        <w:smartTagPr>
          <w:attr w:name="Month" w:val="1"/>
          <w:attr w:name="Day" w:val="1"/>
          <w:attr w:name="Year" w:val="2001"/>
        </w:smartTagPr>
        <w:r w:rsidR="006D15F7" w:rsidRPr="006B2E8B">
          <w:t>January 1, 2001</w:t>
        </w:r>
      </w:smartTag>
      <w:r w:rsidR="006D15F7" w:rsidRPr="006B2E8B">
        <w:t xml:space="preserve">, after </w:t>
      </w:r>
      <w:proofErr w:type="gramStart"/>
      <w:r w:rsidR="006D15F7" w:rsidRPr="006B2E8B">
        <w:t>audited</w:t>
      </w:r>
      <w:proofErr w:type="gramEnd"/>
      <w:r w:rsidR="006D15F7" w:rsidRPr="006B2E8B">
        <w:t xml:space="preserve"> cost report information has become available and final rates have been calculated.</w:t>
      </w:r>
    </w:p>
    <w:p w14:paraId="50DF86BE" w14:textId="77777777" w:rsidR="006D15F7" w:rsidRPr="006B2E8B" w:rsidRDefault="00832B07" w:rsidP="00832B07">
      <w:pPr>
        <w:pStyle w:val="CLETTERED"/>
      </w:pPr>
      <w:r w:rsidRPr="006B2E8B">
        <w:t>B.</w:t>
      </w:r>
      <w:r w:rsidRPr="006B2E8B">
        <w:tab/>
      </w:r>
      <w:r w:rsidR="006D15F7" w:rsidRPr="006B2E8B">
        <w:t>FQHCs that do not have minimal 1999 or 2000 cost report periods (at least 6 months) or that enroll in Medicaid after 2000, will have their initial PPS per encounter rate established at the average of the current rates of the three nearest FQHCs with similar caseloads.</w:t>
      </w:r>
    </w:p>
    <w:p w14:paraId="2A40F673" w14:textId="77777777" w:rsidR="006D15F7" w:rsidRPr="006B2E8B" w:rsidRDefault="00832B07" w:rsidP="00832B07">
      <w:pPr>
        <w:pStyle w:val="cnumbered"/>
      </w:pPr>
      <w:r w:rsidRPr="006B2E8B">
        <w:t>1.</w:t>
      </w:r>
      <w:r w:rsidRPr="006B2E8B">
        <w:tab/>
      </w:r>
      <w:r w:rsidR="006D15F7" w:rsidRPr="006B2E8B">
        <w:t>Determination of the nearest FQHCs will be by map mileage.</w:t>
      </w:r>
    </w:p>
    <w:p w14:paraId="193B61F0" w14:textId="77777777" w:rsidR="006D15F7" w:rsidRPr="006B2E8B" w:rsidRDefault="00832B07" w:rsidP="00832B07">
      <w:pPr>
        <w:pStyle w:val="cnumbered"/>
      </w:pPr>
      <w:r w:rsidRPr="006B2E8B">
        <w:t>2.</w:t>
      </w:r>
      <w:r w:rsidRPr="006B2E8B">
        <w:tab/>
      </w:r>
      <w:r w:rsidR="006D15F7" w:rsidRPr="006B2E8B">
        <w:t>A final PPS per encounter rate shall be established using the center's allowable costs as determined from the provider's first two audited cost reports with reporting periods of at least a full six months.</w:t>
      </w:r>
    </w:p>
    <w:p w14:paraId="1628E498" w14:textId="77777777" w:rsidR="006D15F7" w:rsidRPr="006B2E8B" w:rsidRDefault="00832B07" w:rsidP="00832B07">
      <w:pPr>
        <w:pStyle w:val="cnumbered"/>
      </w:pPr>
      <w:r w:rsidRPr="006B2E8B">
        <w:t>3.</w:t>
      </w:r>
      <w:r w:rsidRPr="006B2E8B">
        <w:tab/>
      </w:r>
      <w:r w:rsidR="006D15F7" w:rsidRPr="006B2E8B">
        <w:t>The final PPS rate will be made effective as of the first day after the provider's second fiscal cost report period used for rate setting.</w:t>
      </w:r>
    </w:p>
    <w:p w14:paraId="39D65BBC" w14:textId="77777777" w:rsidR="006D15F7" w:rsidRPr="006B2E8B" w:rsidRDefault="00832B07" w:rsidP="00832B07">
      <w:pPr>
        <w:pStyle w:val="cnumbered"/>
      </w:pPr>
      <w:r w:rsidRPr="006B2E8B">
        <w:t>4.</w:t>
      </w:r>
      <w:r w:rsidRPr="006B2E8B">
        <w:tab/>
      </w:r>
      <w:r w:rsidR="006D15F7" w:rsidRPr="006B2E8B">
        <w:t>This rate setting method based on the three nearest centers does not apply to new clinics opened under an existing center.</w:t>
      </w:r>
    </w:p>
    <w:p w14:paraId="6F89FDD5" w14:textId="77777777" w:rsidR="006D15F7" w:rsidRPr="006B2E8B" w:rsidRDefault="00832B07" w:rsidP="00832B07">
      <w:pPr>
        <w:pStyle w:val="cletteredindent"/>
      </w:pPr>
      <w:r w:rsidRPr="006B2E8B">
        <w:t>a.</w:t>
      </w:r>
      <w:r w:rsidRPr="006B2E8B">
        <w:tab/>
      </w:r>
      <w:r w:rsidR="006D15F7" w:rsidRPr="006B2E8B">
        <w:t>For these new clinics, the same reimbursement rate as is paid to the other clinics of the center will be paid to the new clinic.</w:t>
      </w:r>
    </w:p>
    <w:p w14:paraId="1BDBB99C" w14:textId="77777777" w:rsidR="006D15F7" w:rsidRPr="006B2E8B" w:rsidRDefault="00832B07" w:rsidP="00832B07">
      <w:pPr>
        <w:pStyle w:val="cletteredindent"/>
      </w:pPr>
      <w:r w:rsidRPr="006B2E8B">
        <w:t>b.</w:t>
      </w:r>
      <w:r w:rsidRPr="006B2E8B">
        <w:tab/>
      </w:r>
      <w:r w:rsidR="006D15F7" w:rsidRPr="006B2E8B">
        <w:t>When clinics open or close, the center should review for possible scope of services rate changes.  See Sections 252.120 and 252.220.</w:t>
      </w:r>
    </w:p>
    <w:p w14:paraId="576C586F" w14:textId="77777777" w:rsidR="006D15F7" w:rsidRPr="006B2E8B" w:rsidRDefault="00832B07" w:rsidP="00832B07">
      <w:pPr>
        <w:pStyle w:val="CLETTERED"/>
      </w:pPr>
      <w:r w:rsidRPr="006B2E8B">
        <w:t>C.</w:t>
      </w:r>
      <w:r w:rsidRPr="006B2E8B">
        <w:tab/>
      </w:r>
      <w:r w:rsidR="006D15F7" w:rsidRPr="006B2E8B">
        <w:t xml:space="preserve">Beginning </w:t>
      </w:r>
      <w:smartTag w:uri="urn:schemas-microsoft-com:office:smarttags" w:element="date">
        <w:smartTagPr>
          <w:attr w:name="Month" w:val="7"/>
          <w:attr w:name="Day" w:val="1"/>
          <w:attr w:name="Year" w:val="2001"/>
        </w:smartTagPr>
        <w:r w:rsidR="006D15F7" w:rsidRPr="006B2E8B">
          <w:t>July 1, 2001</w:t>
        </w:r>
      </w:smartTag>
      <w:r w:rsidR="006D15F7" w:rsidRPr="006B2E8B">
        <w:t xml:space="preserve">, initial rates, interim </w:t>
      </w:r>
      <w:proofErr w:type="gramStart"/>
      <w:r w:rsidR="006D15F7" w:rsidRPr="006B2E8B">
        <w:t>rates</w:t>
      </w:r>
      <w:proofErr w:type="gramEnd"/>
      <w:r w:rsidR="006D15F7" w:rsidRPr="006B2E8B">
        <w:t xml:space="preserve"> and final PPS rates will be adjusted annually by the Medicare Economic Index (MEI) for primary care services.</w:t>
      </w:r>
    </w:p>
    <w:p w14:paraId="72896E17" w14:textId="77777777" w:rsidR="006D15F7" w:rsidRPr="006B2E8B" w:rsidRDefault="00832B07" w:rsidP="00832B07">
      <w:pPr>
        <w:pStyle w:val="cnumbered"/>
      </w:pPr>
      <w:r w:rsidRPr="006B2E8B">
        <w:t>1.</w:t>
      </w:r>
      <w:r w:rsidRPr="006B2E8B">
        <w:tab/>
      </w:r>
      <w:r w:rsidR="006D15F7" w:rsidRPr="006B2E8B">
        <w:t xml:space="preserve">Rate adjustments will be equal to the </w:t>
      </w:r>
      <w:proofErr w:type="gramStart"/>
      <w:r w:rsidR="006D15F7" w:rsidRPr="006B2E8B">
        <w:t>previous calendar</w:t>
      </w:r>
      <w:proofErr w:type="gramEnd"/>
      <w:r w:rsidR="006D15F7" w:rsidRPr="006B2E8B">
        <w:t xml:space="preserve"> year's index percentage change and will be effective for dates of service on and after July 1 of each year.</w:t>
      </w:r>
    </w:p>
    <w:p w14:paraId="1D516B68" w14:textId="77777777" w:rsidR="006D15F7" w:rsidRPr="006B2E8B" w:rsidRDefault="00832B07" w:rsidP="00832B07">
      <w:pPr>
        <w:pStyle w:val="cnumbered"/>
      </w:pPr>
      <w:r w:rsidRPr="006B2E8B">
        <w:t>2.</w:t>
      </w:r>
      <w:r w:rsidRPr="006B2E8B">
        <w:tab/>
      </w:r>
      <w:r w:rsidR="006D15F7" w:rsidRPr="006B2E8B">
        <w:t xml:space="preserve">Annual MEI increases will be reduced </w:t>
      </w:r>
      <w:proofErr w:type="gramStart"/>
      <w:r w:rsidR="006D15F7" w:rsidRPr="006B2E8B">
        <w:t>per</w:t>
      </w:r>
      <w:proofErr w:type="gramEnd"/>
      <w:r w:rsidR="006D15F7" w:rsidRPr="006B2E8B">
        <w:t xml:space="preserve"> the number of applicable months if already used in the calculation of the initial </w:t>
      </w:r>
      <w:smartTag w:uri="urn:schemas-microsoft-com:office:smarttags" w:element="date">
        <w:smartTagPr>
          <w:attr w:name="Month" w:val="1"/>
          <w:attr w:name="Day" w:val="1"/>
          <w:attr w:name="Year" w:val="2001"/>
        </w:smartTagPr>
        <w:r w:rsidR="006D15F7" w:rsidRPr="006B2E8B">
          <w:t xml:space="preserve">January 1, </w:t>
        </w:r>
        <w:proofErr w:type="gramStart"/>
        <w:r w:rsidR="006D15F7" w:rsidRPr="006B2E8B">
          <w:t>2001</w:t>
        </w:r>
      </w:smartTag>
      <w:proofErr w:type="gramEnd"/>
      <w:r w:rsidR="006D15F7" w:rsidRPr="006B2E8B">
        <w:t xml:space="preserve"> rate.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FEB4FF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79242C8" w14:textId="77777777" w:rsidR="006D15F7" w:rsidRPr="006B2E8B" w:rsidRDefault="006D15F7">
            <w:pPr>
              <w:pStyle w:val="chead2"/>
              <w:numPr>
                <w:ilvl w:val="12"/>
                <w:numId w:val="0"/>
              </w:numPr>
              <w:ind w:left="1440" w:hanging="1440"/>
            </w:pPr>
            <w:bookmarkStart w:id="152" w:name="_Toc40064425"/>
            <w:bookmarkStart w:id="153" w:name="_Toc202162662"/>
            <w:r w:rsidRPr="006B2E8B">
              <w:t>252.120</w:t>
            </w:r>
            <w:r w:rsidRPr="006B2E8B">
              <w:tab/>
              <w:t>Rate Adjustments for Scope of Services Changes</w:t>
            </w:r>
            <w:bookmarkEnd w:id="152"/>
            <w:bookmarkEnd w:id="153"/>
          </w:p>
        </w:tc>
        <w:tc>
          <w:tcPr>
            <w:tcW w:w="1238" w:type="dxa"/>
            <w:tcBorders>
              <w:top w:val="single" w:sz="6" w:space="0" w:color="FFFFFF"/>
              <w:left w:val="single" w:sz="6" w:space="0" w:color="FFFFFF"/>
              <w:bottom w:val="single" w:sz="6" w:space="0" w:color="FFFFFF"/>
              <w:right w:val="single" w:sz="6" w:space="0" w:color="FFFFFF"/>
            </w:tcBorders>
          </w:tcPr>
          <w:p w14:paraId="2118CFDF"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11687CAC" w14:textId="77777777" w:rsidR="006D15F7" w:rsidRPr="006B2E8B" w:rsidRDefault="00832B07" w:rsidP="00832B07">
      <w:pPr>
        <w:pStyle w:val="CLETTERED"/>
      </w:pPr>
      <w:r w:rsidRPr="006B2E8B">
        <w:t>A.</w:t>
      </w:r>
      <w:r w:rsidRPr="006B2E8B">
        <w:tab/>
      </w:r>
      <w:r w:rsidR="006D15F7" w:rsidRPr="006B2E8B">
        <w:t>Each center's PPS per encounter rate will be adjusted to account for increases or decreases in scope of services.  Scope of services changes are defined as:</w:t>
      </w:r>
    </w:p>
    <w:p w14:paraId="70838B34" w14:textId="77777777" w:rsidR="006D15F7" w:rsidRPr="006B2E8B" w:rsidRDefault="00832B07" w:rsidP="00832B07">
      <w:pPr>
        <w:pStyle w:val="cnumbered"/>
      </w:pPr>
      <w:r w:rsidRPr="006B2E8B">
        <w:t>1.</w:t>
      </w:r>
      <w:r w:rsidRPr="006B2E8B">
        <w:tab/>
      </w:r>
      <w:r w:rsidR="006D15F7" w:rsidRPr="006B2E8B">
        <w:t xml:space="preserve">An addition or deletion of an FQHC-covered </w:t>
      </w:r>
      <w:proofErr w:type="gramStart"/>
      <w:r w:rsidR="006D15F7" w:rsidRPr="006B2E8B">
        <w:t>service;</w:t>
      </w:r>
      <w:proofErr w:type="gramEnd"/>
    </w:p>
    <w:p w14:paraId="018036FE" w14:textId="77777777" w:rsidR="006D15F7" w:rsidRPr="006B2E8B" w:rsidRDefault="00832B07" w:rsidP="00832B07">
      <w:pPr>
        <w:pStyle w:val="cnumbered"/>
      </w:pPr>
      <w:r w:rsidRPr="006B2E8B">
        <w:t>2.</w:t>
      </w:r>
      <w:r w:rsidRPr="006B2E8B">
        <w:tab/>
      </w:r>
      <w:r w:rsidR="006D15F7" w:rsidRPr="006B2E8B">
        <w:t xml:space="preserve">A change in the magnitude, </w:t>
      </w:r>
      <w:proofErr w:type="gramStart"/>
      <w:r w:rsidR="006D15F7" w:rsidRPr="006B2E8B">
        <w:t>intensity</w:t>
      </w:r>
      <w:proofErr w:type="gramEnd"/>
      <w:r w:rsidR="006D15F7" w:rsidRPr="006B2E8B">
        <w:t xml:space="preserve"> or character of currently offered FQHC-covered </w:t>
      </w:r>
      <w:proofErr w:type="gramStart"/>
      <w:r w:rsidR="006D15F7" w:rsidRPr="006B2E8B">
        <w:t>services;</w:t>
      </w:r>
      <w:proofErr w:type="gramEnd"/>
    </w:p>
    <w:p w14:paraId="2ECA4D5F" w14:textId="77777777" w:rsidR="006D15F7" w:rsidRPr="006B2E8B" w:rsidRDefault="00832B07" w:rsidP="00832B07">
      <w:pPr>
        <w:pStyle w:val="cnumbered"/>
      </w:pPr>
      <w:r w:rsidRPr="006B2E8B">
        <w:t>3.</w:t>
      </w:r>
      <w:r w:rsidRPr="006B2E8B">
        <w:tab/>
      </w:r>
      <w:r w:rsidR="006D15F7" w:rsidRPr="006B2E8B">
        <w:t xml:space="preserve">A change in state or federal regulatory </w:t>
      </w:r>
      <w:proofErr w:type="gramStart"/>
      <w:r w:rsidR="006D15F7" w:rsidRPr="006B2E8B">
        <w:t>requirements;</w:t>
      </w:r>
      <w:proofErr w:type="gramEnd"/>
    </w:p>
    <w:p w14:paraId="2206F79A" w14:textId="77777777" w:rsidR="006D15F7" w:rsidRPr="006B2E8B" w:rsidRDefault="00832B07" w:rsidP="00832B07">
      <w:pPr>
        <w:pStyle w:val="cnumbered"/>
      </w:pPr>
      <w:r w:rsidRPr="006B2E8B">
        <w:t>4.</w:t>
      </w:r>
      <w:r w:rsidRPr="006B2E8B">
        <w:tab/>
      </w:r>
      <w:r w:rsidR="006D15F7" w:rsidRPr="006B2E8B">
        <w:t xml:space="preserve">A change due to relocation, remodeling, opening a new clinic site or closing an existing clinic </w:t>
      </w:r>
      <w:proofErr w:type="gramStart"/>
      <w:r w:rsidR="006D15F7" w:rsidRPr="006B2E8B">
        <w:t>site;</w:t>
      </w:r>
      <w:proofErr w:type="gramEnd"/>
    </w:p>
    <w:p w14:paraId="005595DF" w14:textId="77777777" w:rsidR="006D15F7" w:rsidRPr="006B2E8B" w:rsidRDefault="00832B07" w:rsidP="00832B07">
      <w:pPr>
        <w:pStyle w:val="cnumbered"/>
      </w:pPr>
      <w:r w:rsidRPr="006B2E8B">
        <w:t>5.</w:t>
      </w:r>
      <w:r w:rsidRPr="006B2E8B">
        <w:tab/>
      </w:r>
      <w:r w:rsidR="006D15F7" w:rsidRPr="006B2E8B">
        <w:t>A change in applicable technologies and medical practices or</w:t>
      </w:r>
    </w:p>
    <w:p w14:paraId="6E632958" w14:textId="77777777" w:rsidR="006D15F7" w:rsidRPr="006B2E8B" w:rsidRDefault="00832B07" w:rsidP="00832B07">
      <w:pPr>
        <w:pStyle w:val="cnumbered"/>
      </w:pPr>
      <w:r w:rsidRPr="006B2E8B">
        <w:t>6.</w:t>
      </w:r>
      <w:r w:rsidRPr="006B2E8B">
        <w:tab/>
      </w:r>
      <w:r w:rsidR="006D15F7" w:rsidRPr="006B2E8B">
        <w:t>A change due to recurring taxes, malpractice insurance premiums or Workers’ Compensation insurance premiums that were not recognized and included in the base year's rate calculation.</w:t>
      </w:r>
    </w:p>
    <w:p w14:paraId="6D36064C" w14:textId="77777777" w:rsidR="006D15F7" w:rsidRPr="006B2E8B" w:rsidRDefault="00832B07" w:rsidP="00832B07">
      <w:pPr>
        <w:pStyle w:val="CLETTERED"/>
      </w:pPr>
      <w:r w:rsidRPr="006B2E8B">
        <w:t>B.</w:t>
      </w:r>
      <w:r w:rsidRPr="006B2E8B">
        <w:tab/>
      </w:r>
      <w:r w:rsidR="006D15F7" w:rsidRPr="006B2E8B">
        <w:t>The following examples of scope of services changes are offered as guidance to understanding their definitions but not as a definitive and comprehensive delineation of that definition.</w:t>
      </w:r>
    </w:p>
    <w:p w14:paraId="4C9C82D3" w14:textId="77777777" w:rsidR="006D15F7" w:rsidRPr="006B2E8B" w:rsidRDefault="00832B07" w:rsidP="00832B07">
      <w:pPr>
        <w:pStyle w:val="cnumbered"/>
      </w:pPr>
      <w:r w:rsidRPr="006B2E8B">
        <w:t>1.</w:t>
      </w:r>
      <w:r w:rsidRPr="006B2E8B">
        <w:tab/>
      </w:r>
      <w:r w:rsidR="006D15F7" w:rsidRPr="006B2E8B">
        <w:t>Examples of adding or deleting an FQHC-covered service include adding or deleting dental services or mental health services.</w:t>
      </w:r>
    </w:p>
    <w:p w14:paraId="2B53C42D" w14:textId="77777777" w:rsidR="006D15F7" w:rsidRPr="006B2E8B" w:rsidRDefault="00832B07" w:rsidP="00832B07">
      <w:pPr>
        <w:pStyle w:val="cnumbered"/>
      </w:pPr>
      <w:r w:rsidRPr="006B2E8B">
        <w:t>2.</w:t>
      </w:r>
      <w:r w:rsidRPr="006B2E8B">
        <w:tab/>
      </w:r>
      <w:r w:rsidR="006D15F7" w:rsidRPr="006B2E8B">
        <w:t xml:space="preserve">Examples of changes in the magnitude, </w:t>
      </w:r>
      <w:proofErr w:type="gramStart"/>
      <w:r w:rsidR="006D15F7" w:rsidRPr="006B2E8B">
        <w:t>intensity</w:t>
      </w:r>
      <w:proofErr w:type="gramEnd"/>
      <w:r w:rsidR="006D15F7" w:rsidRPr="006B2E8B">
        <w:t xml:space="preserve"> or character of currently offered FQHC-covered services may include:</w:t>
      </w:r>
    </w:p>
    <w:p w14:paraId="4799BEED" w14:textId="77777777" w:rsidR="006D15F7" w:rsidRPr="006B2E8B" w:rsidRDefault="00832B07" w:rsidP="00832B07">
      <w:pPr>
        <w:pStyle w:val="cletteredindent"/>
      </w:pPr>
      <w:r w:rsidRPr="006B2E8B">
        <w:t>a.</w:t>
      </w:r>
      <w:r w:rsidRPr="006B2E8B">
        <w:tab/>
      </w:r>
      <w:r w:rsidR="006D15F7" w:rsidRPr="006B2E8B">
        <w:t>Adding or deleting specialties or specialists (e.g., pediatrics, geriatric specialists) or</w:t>
      </w:r>
    </w:p>
    <w:p w14:paraId="703E55FF" w14:textId="77777777" w:rsidR="006D15F7" w:rsidRPr="006B2E8B" w:rsidRDefault="00832B07" w:rsidP="00832B07">
      <w:pPr>
        <w:pStyle w:val="cletteredindent"/>
      </w:pPr>
      <w:r w:rsidRPr="006B2E8B">
        <w:lastRenderedPageBreak/>
        <w:t>b.</w:t>
      </w:r>
      <w:r w:rsidRPr="006B2E8B">
        <w:tab/>
      </w:r>
      <w:r w:rsidR="006D15F7" w:rsidRPr="006B2E8B">
        <w:t>Adding or deleting HIV services or chronic disease treatments.</w:t>
      </w:r>
    </w:p>
    <w:p w14:paraId="227617EB" w14:textId="77777777" w:rsidR="006D15F7" w:rsidRPr="006B2E8B" w:rsidRDefault="00832B07" w:rsidP="00832B07">
      <w:pPr>
        <w:pStyle w:val="cnumbered"/>
      </w:pPr>
      <w:r w:rsidRPr="006B2E8B">
        <w:t>3.</w:t>
      </w:r>
      <w:r w:rsidRPr="006B2E8B">
        <w:tab/>
      </w:r>
      <w:r w:rsidR="006D15F7" w:rsidRPr="006B2E8B">
        <w:t>Changes in state or federal regulatory requirements may result in:</w:t>
      </w:r>
    </w:p>
    <w:p w14:paraId="278044A6" w14:textId="77777777" w:rsidR="006D15F7" w:rsidRPr="006B2E8B" w:rsidRDefault="00832B07" w:rsidP="00832B07">
      <w:pPr>
        <w:pStyle w:val="cletteredindent"/>
      </w:pPr>
      <w:r w:rsidRPr="006B2E8B">
        <w:t>a.</w:t>
      </w:r>
      <w:r w:rsidRPr="006B2E8B">
        <w:tab/>
      </w:r>
      <w:r w:rsidR="006D15F7" w:rsidRPr="006B2E8B">
        <w:t xml:space="preserve">Mandated revisions in the types of practitioners and professional personnel employed by the center (including ratios of assistants or nursing staff to </w:t>
      </w:r>
      <w:proofErr w:type="gramStart"/>
      <w:r w:rsidR="006D15F7" w:rsidRPr="006B2E8B">
        <w:t>particular practitioners</w:t>
      </w:r>
      <w:proofErr w:type="gramEnd"/>
      <w:r w:rsidR="006D15F7" w:rsidRPr="006B2E8B">
        <w:t>) or</w:t>
      </w:r>
    </w:p>
    <w:p w14:paraId="7ED66992" w14:textId="77777777" w:rsidR="006D15F7" w:rsidRPr="006B2E8B" w:rsidRDefault="00832B07" w:rsidP="00832B07">
      <w:pPr>
        <w:pStyle w:val="cletteredindent"/>
      </w:pPr>
      <w:r w:rsidRPr="006B2E8B">
        <w:t>b.</w:t>
      </w:r>
      <w:r w:rsidRPr="006B2E8B">
        <w:tab/>
      </w:r>
      <w:r w:rsidR="006D15F7" w:rsidRPr="006B2E8B">
        <w:t xml:space="preserve">Changes in support service equipment or personnel, such as those related to lab and X-ray or other automated diagnostic services, subject to reasonable </w:t>
      </w:r>
      <w:proofErr w:type="gramStart"/>
      <w:r w:rsidR="006D15F7" w:rsidRPr="006B2E8B">
        <w:t>costs</w:t>
      </w:r>
      <w:proofErr w:type="gramEnd"/>
      <w:r w:rsidR="006D15F7" w:rsidRPr="006B2E8B">
        <w:t xml:space="preserve"> criteria identified at 42 CFR 413.</w:t>
      </w:r>
    </w:p>
    <w:p w14:paraId="029CFB02" w14:textId="77777777" w:rsidR="006D15F7" w:rsidRPr="006B2E8B" w:rsidRDefault="00832B07" w:rsidP="00832B07">
      <w:pPr>
        <w:pStyle w:val="cnumbered"/>
      </w:pPr>
      <w:r w:rsidRPr="006B2E8B">
        <w:t>4.</w:t>
      </w:r>
      <w:r w:rsidRPr="006B2E8B">
        <w:tab/>
      </w:r>
      <w:r w:rsidR="006D15F7" w:rsidRPr="006B2E8B">
        <w:t>Item 4 in part A provides its own examples.</w:t>
      </w:r>
    </w:p>
    <w:p w14:paraId="5B561DAB" w14:textId="77777777" w:rsidR="006D15F7" w:rsidRPr="006B2E8B" w:rsidRDefault="00832B07" w:rsidP="00832B07">
      <w:pPr>
        <w:pStyle w:val="cnumbered"/>
      </w:pPr>
      <w:r w:rsidRPr="006B2E8B">
        <w:t>5.</w:t>
      </w:r>
      <w:r w:rsidRPr="006B2E8B">
        <w:tab/>
      </w:r>
      <w:r w:rsidR="006D15F7" w:rsidRPr="006B2E8B">
        <w:t>Examples of changes in applicable technologies and medical practices may include:</w:t>
      </w:r>
    </w:p>
    <w:p w14:paraId="11BD0DD5" w14:textId="77777777" w:rsidR="006D15F7" w:rsidRPr="006B2E8B" w:rsidRDefault="006D15F7" w:rsidP="00832B07">
      <w:pPr>
        <w:pStyle w:val="cletteredindent"/>
      </w:pPr>
      <w:r w:rsidRPr="006B2E8B">
        <w:t>a.</w:t>
      </w:r>
      <w:r w:rsidRPr="006B2E8B">
        <w:tab/>
        <w:t>Replacing obsolete computer systems or computer hardware,</w:t>
      </w:r>
    </w:p>
    <w:p w14:paraId="1CC84D4B" w14:textId="77777777" w:rsidR="006D15F7" w:rsidRPr="006B2E8B" w:rsidRDefault="006D15F7" w:rsidP="00832B07">
      <w:pPr>
        <w:pStyle w:val="cletteredindent"/>
      </w:pPr>
      <w:r w:rsidRPr="006B2E8B">
        <w:t>b.</w:t>
      </w:r>
      <w:r w:rsidRPr="006B2E8B">
        <w:tab/>
        <w:t>Automating medical records,</w:t>
      </w:r>
    </w:p>
    <w:p w14:paraId="4B49F077" w14:textId="77777777" w:rsidR="006D15F7" w:rsidRPr="006B2E8B" w:rsidRDefault="006D15F7" w:rsidP="00832B07">
      <w:pPr>
        <w:pStyle w:val="cletteredindent"/>
      </w:pPr>
      <w:r w:rsidRPr="006B2E8B">
        <w:t>c.</w:t>
      </w:r>
      <w:r w:rsidRPr="006B2E8B">
        <w:tab/>
        <w:t>Updating software or replacing obsolete software,</w:t>
      </w:r>
    </w:p>
    <w:p w14:paraId="6E9AE43D" w14:textId="77777777" w:rsidR="006D15F7" w:rsidRPr="006B2E8B" w:rsidRDefault="006D15F7" w:rsidP="00832B07">
      <w:pPr>
        <w:pStyle w:val="cletteredindent"/>
      </w:pPr>
      <w:r w:rsidRPr="006B2E8B">
        <w:t>d.</w:t>
      </w:r>
      <w:r w:rsidRPr="006B2E8B">
        <w:tab/>
        <w:t>Converting to wireless communications systems or</w:t>
      </w:r>
    </w:p>
    <w:p w14:paraId="4732DE4A" w14:textId="77777777" w:rsidR="006D15F7" w:rsidRPr="006B2E8B" w:rsidRDefault="006D15F7" w:rsidP="00832B07">
      <w:pPr>
        <w:pStyle w:val="cletteredindent"/>
      </w:pPr>
      <w:r w:rsidRPr="006B2E8B">
        <w:t>e.</w:t>
      </w:r>
      <w:r w:rsidRPr="006B2E8B">
        <w:tab/>
        <w:t xml:space="preserve">Updating or replacing obsolete diagnostic equipment (which may also necessitate personnel changes), subject to reasonable </w:t>
      </w:r>
      <w:proofErr w:type="gramStart"/>
      <w:r w:rsidRPr="006B2E8B">
        <w:t>costs</w:t>
      </w:r>
      <w:proofErr w:type="gramEnd"/>
      <w:r w:rsidRPr="006B2E8B">
        <w:t xml:space="preserve"> criteria identified at 42 CFR 413.</w:t>
      </w:r>
    </w:p>
    <w:p w14:paraId="0586868B" w14:textId="77777777" w:rsidR="006D15F7" w:rsidRPr="006B2E8B" w:rsidRDefault="00832B07" w:rsidP="00832B07">
      <w:pPr>
        <w:pStyle w:val="cnumbered"/>
      </w:pPr>
      <w:r w:rsidRPr="006B2E8B">
        <w:t>6.</w:t>
      </w:r>
      <w:r w:rsidRPr="006B2E8B">
        <w:tab/>
      </w:r>
      <w:r w:rsidR="006D15F7" w:rsidRPr="006B2E8B">
        <w:t>Item 6 in part A provides its own examples.</w:t>
      </w:r>
    </w:p>
    <w:p w14:paraId="14E424D1" w14:textId="77777777" w:rsidR="006D15F7" w:rsidRPr="006B2E8B" w:rsidRDefault="00832B07" w:rsidP="00832B07">
      <w:pPr>
        <w:pStyle w:val="CLETTERED"/>
      </w:pPr>
      <w:r w:rsidRPr="006B2E8B">
        <w:t>C.</w:t>
      </w:r>
      <w:r w:rsidRPr="006B2E8B">
        <w:tab/>
      </w:r>
      <w:r w:rsidR="006D15F7" w:rsidRPr="006B2E8B">
        <w:t>All requested PPS rate increases due to scope of services changes are subject to reasonable costs criteria identified at 42 CFR 413.</w:t>
      </w:r>
    </w:p>
    <w:p w14:paraId="0F6520BF" w14:textId="77777777" w:rsidR="006D15F7" w:rsidRPr="006B2E8B" w:rsidRDefault="00832B07" w:rsidP="00832B07">
      <w:pPr>
        <w:pStyle w:val="CLETTERED"/>
      </w:pPr>
      <w:r w:rsidRPr="006B2E8B">
        <w:t>D.</w:t>
      </w:r>
      <w:r w:rsidRPr="006B2E8B">
        <w:tab/>
      </w:r>
      <w:r w:rsidR="006D15F7" w:rsidRPr="006B2E8B">
        <w:t xml:space="preserve">The provider must submit written requests for both cost increases and cost decreases due to scope of services changes.  The request must be submitted (postmarked) within 5 months after the end of the provider's fiscal period and the request must identify the beginning date that the change occurred and include detailed descriptions, documentation and calculations of the changes and </w:t>
      </w:r>
      <w:proofErr w:type="gramStart"/>
      <w:r w:rsidR="006D15F7" w:rsidRPr="006B2E8B">
        <w:t>costs</w:t>
      </w:r>
      <w:proofErr w:type="gramEnd"/>
      <w:r w:rsidR="006D15F7" w:rsidRPr="006B2E8B">
        <w:t xml:space="preserve"> differences.</w:t>
      </w:r>
    </w:p>
    <w:p w14:paraId="35A6096B" w14:textId="77777777" w:rsidR="006D15F7" w:rsidRPr="006B2E8B" w:rsidRDefault="00832B07" w:rsidP="00832B07">
      <w:pPr>
        <w:pStyle w:val="cnumbered"/>
      </w:pPr>
      <w:r w:rsidRPr="006B2E8B">
        <w:t>1.</w:t>
      </w:r>
      <w:r w:rsidRPr="006B2E8B">
        <w:tab/>
      </w:r>
      <w:r w:rsidR="006D15F7" w:rsidRPr="006B2E8B">
        <w:t>To qualify for a PPS rate change, the scope of services changes must equal at least a 5% total difference in the allowable per encounter cost as determined for the fiscal period and the changes must have existed during the last full 6 months of the provider's fiscal period.</w:t>
      </w:r>
    </w:p>
    <w:p w14:paraId="3DC41308" w14:textId="77777777" w:rsidR="006D15F7" w:rsidRPr="006B2E8B" w:rsidRDefault="00832B07" w:rsidP="00832B07">
      <w:pPr>
        <w:pStyle w:val="cnumbered"/>
      </w:pPr>
      <w:r w:rsidRPr="006B2E8B">
        <w:t>2.</w:t>
      </w:r>
      <w:r w:rsidRPr="006B2E8B">
        <w:tab/>
      </w:r>
      <w:r w:rsidR="006D15F7" w:rsidRPr="006B2E8B">
        <w:t xml:space="preserve">Arkansas Medicaid will review the submitted documentation and will notify the provider within 90 days whether a PPS rate change will be implemented.  If implemented, the PPS rate change will reflect the cost difference of the scope of services changes and will be effective on the </w:t>
      </w:r>
      <w:proofErr w:type="gramStart"/>
      <w:r w:rsidR="006D15F7" w:rsidRPr="006B2E8B">
        <w:t>later</w:t>
      </w:r>
      <w:proofErr w:type="gramEnd"/>
      <w:r w:rsidR="006D15F7" w:rsidRPr="006B2E8B">
        <w:t xml:space="preserve"> of:</w:t>
      </w:r>
    </w:p>
    <w:p w14:paraId="261AE67C" w14:textId="77777777" w:rsidR="006D15F7" w:rsidRPr="006B2E8B" w:rsidRDefault="003455AB" w:rsidP="003455AB">
      <w:pPr>
        <w:pStyle w:val="cletteredindent"/>
      </w:pPr>
      <w:r w:rsidRPr="006B2E8B">
        <w:t>a.</w:t>
      </w:r>
      <w:r w:rsidRPr="006B2E8B">
        <w:tab/>
      </w:r>
      <w:r w:rsidR="006D15F7" w:rsidRPr="006B2E8B">
        <w:t>The first date that the scope of services changed or</w:t>
      </w:r>
    </w:p>
    <w:p w14:paraId="7108EEF2" w14:textId="77777777" w:rsidR="006D15F7" w:rsidRPr="006B2E8B" w:rsidRDefault="003455AB" w:rsidP="003455AB">
      <w:pPr>
        <w:pStyle w:val="cletteredindent"/>
      </w:pPr>
      <w:r w:rsidRPr="006B2E8B">
        <w:t>b.</w:t>
      </w:r>
      <w:r w:rsidRPr="006B2E8B">
        <w:tab/>
      </w:r>
      <w:r w:rsidR="006D15F7" w:rsidRPr="006B2E8B">
        <w:t>The beginning date of the fiscal period.</w:t>
      </w:r>
    </w:p>
    <w:p w14:paraId="7EC3BA30" w14:textId="77777777" w:rsidR="006D15F7" w:rsidRPr="006B2E8B" w:rsidRDefault="003455AB" w:rsidP="003455AB">
      <w:pPr>
        <w:pStyle w:val="cnumbered"/>
      </w:pPr>
      <w:r w:rsidRPr="006B2E8B">
        <w:t>3.</w:t>
      </w:r>
      <w:r w:rsidRPr="006B2E8B">
        <w:tab/>
      </w:r>
      <w:r w:rsidR="006D15F7" w:rsidRPr="006B2E8B">
        <w:t>PPS rate changes will also be made when scope of services changes are identified through an audit or review process.  In such a case, the effective date of the PPS rate change will be the later of:</w:t>
      </w:r>
    </w:p>
    <w:p w14:paraId="35CAC271" w14:textId="77777777" w:rsidR="006D15F7" w:rsidRPr="006B2E8B" w:rsidRDefault="003455AB" w:rsidP="003455AB">
      <w:pPr>
        <w:pStyle w:val="cletteredindent"/>
      </w:pPr>
      <w:r w:rsidRPr="006B2E8B">
        <w:t>a.</w:t>
      </w:r>
      <w:r w:rsidRPr="006B2E8B">
        <w:tab/>
      </w:r>
      <w:r w:rsidR="006D15F7" w:rsidRPr="006B2E8B">
        <w:t>The first date that the scope of services changed or</w:t>
      </w:r>
    </w:p>
    <w:p w14:paraId="3E923E65" w14:textId="77777777" w:rsidR="006D15F7" w:rsidRPr="006B2E8B" w:rsidRDefault="003455AB" w:rsidP="003455AB">
      <w:pPr>
        <w:pStyle w:val="cletteredindent"/>
      </w:pPr>
      <w:r w:rsidRPr="006B2E8B">
        <w:t>b.</w:t>
      </w:r>
      <w:r w:rsidRPr="006B2E8B">
        <w:tab/>
      </w:r>
      <w:r w:rsidR="006D15F7" w:rsidRPr="006B2E8B">
        <w:t>The beginning date of the cost report period for which the changes should have been reported.</w:t>
      </w:r>
    </w:p>
    <w:p w14:paraId="0B707E43" w14:textId="77777777" w:rsidR="006D15F7" w:rsidRPr="006B2E8B" w:rsidRDefault="003455AB" w:rsidP="003455AB">
      <w:pPr>
        <w:pStyle w:val="CLETTERED"/>
      </w:pPr>
      <w:r w:rsidRPr="006B2E8B">
        <w:t>E.</w:t>
      </w:r>
      <w:r w:rsidRPr="006B2E8B">
        <w:tab/>
      </w:r>
      <w:r w:rsidR="006D15F7" w:rsidRPr="006B2E8B">
        <w:t>Examples:</w:t>
      </w:r>
    </w:p>
    <w:p w14:paraId="75A89472" w14:textId="77777777" w:rsidR="006D15F7" w:rsidRPr="006B2E8B" w:rsidRDefault="000B33FB" w:rsidP="000B33FB">
      <w:pPr>
        <w:pStyle w:val="cnumbered"/>
      </w:pPr>
      <w:r w:rsidRPr="006B2E8B">
        <w:t>1.</w:t>
      </w:r>
      <w:r w:rsidRPr="006B2E8B">
        <w:tab/>
      </w:r>
      <w:r w:rsidR="006D15F7" w:rsidRPr="006B2E8B">
        <w:t xml:space="preserve">FQHC provider XYZ has a fiscal reporting period of January 1 through December 31.  On </w:t>
      </w:r>
      <w:smartTag w:uri="urn:schemas-microsoft-com:office:smarttags" w:element="date">
        <w:smartTagPr>
          <w:attr w:name="Month" w:val="9"/>
          <w:attr w:name="Day" w:val="1"/>
          <w:attr w:name="Year" w:val="2002"/>
        </w:smartTagPr>
        <w:r w:rsidR="006D15F7" w:rsidRPr="006B2E8B">
          <w:t>September 1, 2002</w:t>
        </w:r>
      </w:smartTag>
      <w:r w:rsidR="006D15F7" w:rsidRPr="006B2E8B">
        <w:t xml:space="preserve">, Provider XYZ purchases new lab equipment to replace old obsolete equipment.  The following calculations represent the changes in allowable per encounter cost for reporting periods ending </w:t>
      </w:r>
      <w:smartTag w:uri="urn:schemas-microsoft-com:office:smarttags" w:element="date">
        <w:smartTagPr>
          <w:attr w:name="Month" w:val="12"/>
          <w:attr w:name="Day" w:val="31"/>
          <w:attr w:name="Year" w:val="2002"/>
        </w:smartTagPr>
        <w:r w:rsidR="006D15F7" w:rsidRPr="006B2E8B">
          <w:t xml:space="preserve">December 31, </w:t>
        </w:r>
        <w:proofErr w:type="gramStart"/>
        <w:r w:rsidR="006D15F7" w:rsidRPr="006B2E8B">
          <w:t>2002</w:t>
        </w:r>
      </w:smartTag>
      <w:proofErr w:type="gramEnd"/>
      <w:r w:rsidR="006D15F7" w:rsidRPr="006B2E8B">
        <w:t xml:space="preserve"> and </w:t>
      </w:r>
      <w:smartTag w:uri="urn:schemas-microsoft-com:office:smarttags" w:element="date">
        <w:smartTagPr>
          <w:attr w:name="Month" w:val="12"/>
          <w:attr w:name="Day" w:val="31"/>
          <w:attr w:name="Year" w:val="2003"/>
        </w:smartTagPr>
        <w:r w:rsidR="006D15F7" w:rsidRPr="006B2E8B">
          <w:t>December 31, 2003</w:t>
        </w:r>
      </w:smartTag>
      <w:r w:rsidR="006D15F7" w:rsidRPr="006B2E8B">
        <w:t>.</w:t>
      </w:r>
    </w:p>
    <w:p w14:paraId="5F53DDE3" w14:textId="77777777" w:rsidR="006D15F7" w:rsidRPr="006B2E8B" w:rsidRDefault="000B33FB" w:rsidP="000B33FB">
      <w:pPr>
        <w:pStyle w:val="cletteredindent"/>
      </w:pPr>
      <w:r w:rsidRPr="006B2E8B">
        <w:lastRenderedPageBreak/>
        <w:t>a.</w:t>
      </w:r>
      <w:r w:rsidRPr="006B2E8B">
        <w:tab/>
      </w:r>
      <w:r w:rsidR="006D15F7" w:rsidRPr="006B2E8B">
        <w:t>Reporting Period 2002</w:t>
      </w:r>
    </w:p>
    <w:p w14:paraId="2F742CB3" w14:textId="77777777" w:rsidR="006D15F7" w:rsidRPr="006B2E8B" w:rsidRDefault="000B33FB" w:rsidP="000B33FB">
      <w:pPr>
        <w:pStyle w:val="cletteredindent"/>
      </w:pPr>
      <w:r w:rsidRPr="006B2E8B">
        <w:tab/>
      </w:r>
      <w:r w:rsidR="006D15F7" w:rsidRPr="006B2E8B">
        <w:t xml:space="preserve">For the reporting period ending </w:t>
      </w:r>
      <w:smartTag w:uri="urn:schemas-microsoft-com:office:smarttags" w:element="date">
        <w:smartTagPr>
          <w:attr w:name="Month" w:val="12"/>
          <w:attr w:name="Day" w:val="31"/>
          <w:attr w:name="Year" w:val="2002"/>
        </w:smartTagPr>
        <w:r w:rsidR="006D15F7" w:rsidRPr="006B2E8B">
          <w:t>December 31, 2002</w:t>
        </w:r>
      </w:smartTag>
      <w:r w:rsidR="006D15F7" w:rsidRPr="006B2E8B">
        <w:t>, Provider XYZ does not qualify for a scope of services PPS rate change because the change did not exist during the last six months of the fiscal period.</w:t>
      </w:r>
    </w:p>
    <w:p w14:paraId="16E3A3B3" w14:textId="77777777" w:rsidR="006D15F7" w:rsidRPr="006B2E8B" w:rsidRDefault="000B33FB" w:rsidP="000B33FB">
      <w:pPr>
        <w:pStyle w:val="cletteredindent"/>
      </w:pPr>
      <w:r w:rsidRPr="006B2E8B">
        <w:t>b.</w:t>
      </w:r>
      <w:r w:rsidRPr="006B2E8B">
        <w:tab/>
      </w:r>
      <w:r w:rsidR="006D15F7" w:rsidRPr="006B2E8B">
        <w:t>Reporting Period 2003</w:t>
      </w:r>
    </w:p>
    <w:p w14:paraId="360BC73F" w14:textId="77777777" w:rsidR="006D15F7" w:rsidRPr="006B2E8B" w:rsidRDefault="006D15F7">
      <w:pPr>
        <w:pStyle w:val="ctablespace"/>
      </w:pPr>
    </w:p>
    <w:tbl>
      <w:tblPr>
        <w:tblW w:w="0" w:type="auto"/>
        <w:tblInd w:w="2008" w:type="dxa"/>
        <w:tblLayout w:type="fixed"/>
        <w:tblLook w:val="0000" w:firstRow="0" w:lastRow="0" w:firstColumn="0" w:lastColumn="0" w:noHBand="0" w:noVBand="0"/>
      </w:tblPr>
      <w:tblGrid>
        <w:gridCol w:w="1152"/>
        <w:gridCol w:w="5760"/>
      </w:tblGrid>
      <w:tr w:rsidR="006D15F7" w:rsidRPr="006B2E8B" w14:paraId="7A88718D" w14:textId="77777777">
        <w:tc>
          <w:tcPr>
            <w:tcW w:w="1152" w:type="dxa"/>
            <w:tcBorders>
              <w:top w:val="nil"/>
              <w:left w:val="nil"/>
              <w:bottom w:val="nil"/>
              <w:right w:val="nil"/>
            </w:tcBorders>
          </w:tcPr>
          <w:p w14:paraId="7CE77EB8" w14:textId="77777777" w:rsidR="006D15F7" w:rsidRPr="006B2E8B" w:rsidRDefault="006D15F7">
            <w:pPr>
              <w:pStyle w:val="cTableText"/>
              <w:numPr>
                <w:ilvl w:val="12"/>
                <w:numId w:val="0"/>
              </w:numPr>
            </w:pPr>
            <w:r w:rsidRPr="006B2E8B">
              <w:t>$85.78</w:t>
            </w:r>
          </w:p>
        </w:tc>
        <w:tc>
          <w:tcPr>
            <w:tcW w:w="5760" w:type="dxa"/>
            <w:tcBorders>
              <w:top w:val="nil"/>
              <w:left w:val="nil"/>
              <w:bottom w:val="nil"/>
              <w:right w:val="nil"/>
            </w:tcBorders>
          </w:tcPr>
          <w:p w14:paraId="57F559F2"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40D1FDDE" w14:textId="77777777">
        <w:tc>
          <w:tcPr>
            <w:tcW w:w="1152" w:type="dxa"/>
            <w:tcBorders>
              <w:top w:val="nil"/>
              <w:left w:val="nil"/>
              <w:bottom w:val="nil"/>
              <w:right w:val="nil"/>
            </w:tcBorders>
          </w:tcPr>
          <w:p w14:paraId="5F7929DA" w14:textId="77777777" w:rsidR="006D15F7" w:rsidRPr="006B2E8B" w:rsidRDefault="006D15F7">
            <w:pPr>
              <w:pStyle w:val="cTableText"/>
              <w:numPr>
                <w:ilvl w:val="12"/>
                <w:numId w:val="0"/>
              </w:numPr>
            </w:pPr>
            <w:r w:rsidRPr="006B2E8B">
              <w:rPr>
                <w:u w:val="single"/>
              </w:rPr>
              <w:t>(81.45)</w:t>
            </w:r>
          </w:p>
        </w:tc>
        <w:tc>
          <w:tcPr>
            <w:tcW w:w="5760" w:type="dxa"/>
            <w:tcBorders>
              <w:top w:val="nil"/>
              <w:left w:val="nil"/>
              <w:bottom w:val="nil"/>
              <w:right w:val="nil"/>
            </w:tcBorders>
          </w:tcPr>
          <w:p w14:paraId="4647854F" w14:textId="77777777" w:rsidR="006D15F7" w:rsidRPr="006B2E8B" w:rsidRDefault="006D15F7">
            <w:pPr>
              <w:pStyle w:val="cTableText"/>
              <w:numPr>
                <w:ilvl w:val="12"/>
                <w:numId w:val="0"/>
              </w:numPr>
            </w:pPr>
            <w:r w:rsidRPr="006B2E8B">
              <w:t xml:space="preserve">Less: Per Encounter Cost </w:t>
            </w:r>
            <w:proofErr w:type="gramStart"/>
            <w:r w:rsidRPr="006B2E8B">
              <w:t>With</w:t>
            </w:r>
            <w:proofErr w:type="gramEnd"/>
            <w:r w:rsidRPr="006B2E8B">
              <w:t xml:space="preserve"> Old Equipment</w:t>
            </w:r>
            <w:r w:rsidRPr="006B2E8B">
              <w:br/>
              <w:t>(Calculate Per Encounter Cost Using the Cost of the Old Equipment)</w:t>
            </w:r>
          </w:p>
        </w:tc>
      </w:tr>
      <w:tr w:rsidR="006D15F7" w:rsidRPr="006B2E8B" w14:paraId="469DB95C" w14:textId="77777777">
        <w:tc>
          <w:tcPr>
            <w:tcW w:w="1152" w:type="dxa"/>
            <w:tcBorders>
              <w:top w:val="nil"/>
              <w:left w:val="nil"/>
              <w:bottom w:val="nil"/>
              <w:right w:val="nil"/>
            </w:tcBorders>
          </w:tcPr>
          <w:p w14:paraId="53050324" w14:textId="77777777" w:rsidR="006D15F7" w:rsidRPr="006B2E8B" w:rsidRDefault="006D15F7">
            <w:pPr>
              <w:pStyle w:val="cTableText"/>
              <w:numPr>
                <w:ilvl w:val="12"/>
                <w:numId w:val="0"/>
              </w:numPr>
            </w:pPr>
            <w:r w:rsidRPr="006B2E8B">
              <w:t>$4.33</w:t>
            </w:r>
          </w:p>
        </w:tc>
        <w:tc>
          <w:tcPr>
            <w:tcW w:w="5760" w:type="dxa"/>
            <w:tcBorders>
              <w:top w:val="nil"/>
              <w:left w:val="nil"/>
              <w:bottom w:val="nil"/>
              <w:right w:val="nil"/>
            </w:tcBorders>
          </w:tcPr>
          <w:p w14:paraId="02565F96" w14:textId="77777777" w:rsidR="006D15F7" w:rsidRPr="006B2E8B" w:rsidRDefault="006D15F7">
            <w:pPr>
              <w:pStyle w:val="cTableText"/>
              <w:numPr>
                <w:ilvl w:val="12"/>
                <w:numId w:val="0"/>
              </w:numPr>
            </w:pPr>
            <w:r w:rsidRPr="006B2E8B">
              <w:t>Difference or 5.32% Increase</w:t>
            </w:r>
            <w:r w:rsidRPr="006B2E8B">
              <w:br/>
              <w:t>(Provider Qualifies for PPS Rate Increase for 2003)</w:t>
            </w:r>
          </w:p>
        </w:tc>
      </w:tr>
    </w:tbl>
    <w:p w14:paraId="2BDCDD49" w14:textId="77777777" w:rsidR="006D15F7" w:rsidRPr="006B2E8B" w:rsidRDefault="006D15F7">
      <w:pPr>
        <w:pStyle w:val="ctablespace"/>
        <w:numPr>
          <w:ilvl w:val="12"/>
          <w:numId w:val="0"/>
        </w:numPr>
        <w:ind w:left="360"/>
      </w:pPr>
    </w:p>
    <w:p w14:paraId="53220259" w14:textId="77777777" w:rsidR="006D15F7" w:rsidRPr="006B2E8B" w:rsidRDefault="000B33FB" w:rsidP="000B33FB">
      <w:pPr>
        <w:pStyle w:val="cletteredindent"/>
      </w:pPr>
      <w:r w:rsidRPr="006B2E8B">
        <w:tab/>
      </w:r>
      <w:r w:rsidR="006D15F7" w:rsidRPr="006B2E8B">
        <w:t xml:space="preserve">For </w:t>
      </w:r>
      <w:proofErr w:type="gramStart"/>
      <w:r w:rsidR="006D15F7" w:rsidRPr="006B2E8B">
        <w:t>reporting</w:t>
      </w:r>
      <w:proofErr w:type="gramEnd"/>
      <w:r w:rsidR="006D15F7" w:rsidRPr="006B2E8B">
        <w:t xml:space="preserve"> period ending </w:t>
      </w:r>
      <w:smartTag w:uri="urn:schemas-microsoft-com:office:smarttags" w:element="date">
        <w:smartTagPr>
          <w:attr w:name="Month" w:val="12"/>
          <w:attr w:name="Day" w:val="31"/>
          <w:attr w:name="Year" w:val="2003"/>
        </w:smartTagPr>
        <w:r w:rsidR="006D15F7" w:rsidRPr="006B2E8B">
          <w:t>December 31, 2003</w:t>
        </w:r>
      </w:smartTag>
      <w:r w:rsidR="006D15F7" w:rsidRPr="006B2E8B">
        <w:t xml:space="preserve">, Provider XYZ would qualify for a scope of services PPS rate change.  Provider XYZ should request the PPS rate change with the submission of their </w:t>
      </w:r>
      <w:smartTag w:uri="urn:schemas-microsoft-com:office:smarttags" w:element="date">
        <w:smartTagPr>
          <w:attr w:name="Month" w:val="12"/>
          <w:attr w:name="Day" w:val="31"/>
          <w:attr w:name="Year" w:val="2003"/>
        </w:smartTagPr>
        <w:r w:rsidR="006D15F7" w:rsidRPr="006B2E8B">
          <w:t xml:space="preserve">December 31, </w:t>
        </w:r>
        <w:proofErr w:type="gramStart"/>
        <w:r w:rsidR="006D15F7" w:rsidRPr="006B2E8B">
          <w:t>2003</w:t>
        </w:r>
      </w:smartTag>
      <w:proofErr w:type="gramEnd"/>
      <w:r w:rsidR="006D15F7" w:rsidRPr="006B2E8B">
        <w:t xml:space="preserve"> cost report.  If approved, the $4.33 rate change would be retroactively applied to </w:t>
      </w:r>
      <w:smartTag w:uri="urn:schemas-microsoft-com:office:smarttags" w:element="date">
        <w:smartTagPr>
          <w:attr w:name="Month" w:val="1"/>
          <w:attr w:name="Day" w:val="31"/>
          <w:attr w:name="Year" w:val="2003"/>
        </w:smartTagPr>
        <w:r w:rsidR="006D15F7" w:rsidRPr="006B2E8B">
          <w:t>January 31, 2003</w:t>
        </w:r>
      </w:smartTag>
      <w:r w:rsidR="006D15F7" w:rsidRPr="006B2E8B">
        <w:t>.</w:t>
      </w:r>
    </w:p>
    <w:p w14:paraId="5AC0FF73" w14:textId="77777777" w:rsidR="006D15F7" w:rsidRPr="006B2E8B" w:rsidRDefault="000B33FB" w:rsidP="000B33FB">
      <w:pPr>
        <w:pStyle w:val="cnumbered"/>
      </w:pPr>
      <w:r w:rsidRPr="006B2E8B">
        <w:t>2.</w:t>
      </w:r>
      <w:r w:rsidRPr="006B2E8B">
        <w:tab/>
      </w:r>
      <w:r w:rsidR="006D15F7" w:rsidRPr="006B2E8B">
        <w:t>PPS rate changes due to scope of services changes will also be applied cumulatively.  In other words, less than 5% changes for a previous reporting period can be brought forward to future reporting periods.  For example:</w:t>
      </w:r>
    </w:p>
    <w:p w14:paraId="3914C6EE" w14:textId="77777777" w:rsidR="006D15F7" w:rsidRPr="006B2E8B" w:rsidRDefault="000B33FB" w:rsidP="000B33FB">
      <w:pPr>
        <w:pStyle w:val="cnumbered"/>
      </w:pPr>
      <w:r w:rsidRPr="006B2E8B">
        <w:tab/>
      </w:r>
      <w:r w:rsidR="006D15F7" w:rsidRPr="006B2E8B">
        <w:t xml:space="preserve">FQHC provider XYZ with a reporting period ending </w:t>
      </w:r>
      <w:smartTag w:uri="urn:schemas-microsoft-com:office:smarttags" w:element="date">
        <w:smartTagPr>
          <w:attr w:name="Month" w:val="12"/>
          <w:attr w:name="Day" w:val="31"/>
          <w:attr w:name="Year" w:val="2002"/>
        </w:smartTagPr>
        <w:r w:rsidR="006D15F7" w:rsidRPr="006B2E8B">
          <w:t>December 31, 2002</w:t>
        </w:r>
      </w:smartTag>
      <w:r w:rsidR="006D15F7" w:rsidRPr="006B2E8B">
        <w:t xml:space="preserve">, purchases new lab equipment to replace </w:t>
      </w:r>
      <w:proofErr w:type="gramStart"/>
      <w:r w:rsidR="006D15F7" w:rsidRPr="006B2E8B">
        <w:t>old obsolete</w:t>
      </w:r>
      <w:proofErr w:type="gramEnd"/>
      <w:r w:rsidR="006D15F7" w:rsidRPr="006B2E8B">
        <w:t xml:space="preserve"> equipment as of </w:t>
      </w:r>
      <w:smartTag w:uri="urn:schemas-microsoft-com:office:smarttags" w:element="date">
        <w:smartTagPr>
          <w:attr w:name="Month" w:val="1"/>
          <w:attr w:name="Day" w:val="1"/>
          <w:attr w:name="Year" w:val="2002"/>
        </w:smartTagPr>
        <w:r w:rsidR="006D15F7" w:rsidRPr="006B2E8B">
          <w:t>January 1, 2002</w:t>
        </w:r>
      </w:smartTag>
      <w:r w:rsidR="006D15F7" w:rsidRPr="006B2E8B">
        <w:t>, but the cost difference is less than 5%.</w:t>
      </w:r>
    </w:p>
    <w:p w14:paraId="6D205E5E" w14:textId="77777777" w:rsidR="006D15F7" w:rsidRPr="006B2E8B" w:rsidRDefault="006D15F7">
      <w:pPr>
        <w:pStyle w:val="cletteredindent"/>
      </w:pPr>
      <w:r w:rsidRPr="006B2E8B">
        <w:t>a.</w:t>
      </w:r>
      <w:r w:rsidRPr="006B2E8B">
        <w:tab/>
        <w:t>Reporting Period 2002</w:t>
      </w:r>
    </w:p>
    <w:p w14:paraId="0DD1280C" w14:textId="77777777" w:rsidR="006D15F7" w:rsidRPr="006B2E8B" w:rsidRDefault="006D15F7">
      <w:pPr>
        <w:pStyle w:val="ctablespace"/>
        <w:numPr>
          <w:ilvl w:val="12"/>
          <w:numId w:val="0"/>
        </w:numPr>
        <w:ind w:left="360"/>
      </w:pPr>
    </w:p>
    <w:tbl>
      <w:tblPr>
        <w:tblW w:w="0" w:type="auto"/>
        <w:tblInd w:w="2008" w:type="dxa"/>
        <w:tblLayout w:type="fixed"/>
        <w:tblLook w:val="0000" w:firstRow="0" w:lastRow="0" w:firstColumn="0" w:lastColumn="0" w:noHBand="0" w:noVBand="0"/>
      </w:tblPr>
      <w:tblGrid>
        <w:gridCol w:w="1152"/>
        <w:gridCol w:w="5760"/>
      </w:tblGrid>
      <w:tr w:rsidR="006D15F7" w:rsidRPr="006B2E8B" w14:paraId="0ACED269" w14:textId="77777777">
        <w:tc>
          <w:tcPr>
            <w:tcW w:w="1152" w:type="dxa"/>
            <w:tcBorders>
              <w:top w:val="nil"/>
              <w:left w:val="nil"/>
              <w:bottom w:val="nil"/>
              <w:right w:val="nil"/>
            </w:tcBorders>
          </w:tcPr>
          <w:p w14:paraId="2BFA1D6A" w14:textId="77777777" w:rsidR="006D15F7" w:rsidRPr="006B2E8B" w:rsidRDefault="006D15F7">
            <w:pPr>
              <w:pStyle w:val="cTableText"/>
              <w:numPr>
                <w:ilvl w:val="12"/>
                <w:numId w:val="0"/>
              </w:numPr>
            </w:pPr>
            <w:r w:rsidRPr="006B2E8B">
              <w:t>$85.78</w:t>
            </w:r>
          </w:p>
        </w:tc>
        <w:tc>
          <w:tcPr>
            <w:tcW w:w="5760" w:type="dxa"/>
            <w:tcBorders>
              <w:top w:val="nil"/>
              <w:left w:val="nil"/>
              <w:bottom w:val="nil"/>
              <w:right w:val="nil"/>
            </w:tcBorders>
          </w:tcPr>
          <w:p w14:paraId="3547492B"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4E15A32D" w14:textId="77777777">
        <w:tc>
          <w:tcPr>
            <w:tcW w:w="1152" w:type="dxa"/>
            <w:tcBorders>
              <w:top w:val="nil"/>
              <w:left w:val="nil"/>
              <w:bottom w:val="nil"/>
              <w:right w:val="nil"/>
            </w:tcBorders>
          </w:tcPr>
          <w:p w14:paraId="3B6ACD2D" w14:textId="77777777" w:rsidR="006D15F7" w:rsidRPr="006B2E8B" w:rsidRDefault="006D15F7">
            <w:pPr>
              <w:pStyle w:val="cTableText"/>
              <w:numPr>
                <w:ilvl w:val="12"/>
                <w:numId w:val="0"/>
              </w:numPr>
            </w:pPr>
            <w:r w:rsidRPr="006B2E8B">
              <w:rPr>
                <w:u w:val="single"/>
              </w:rPr>
              <w:t>(83.90)</w:t>
            </w:r>
          </w:p>
        </w:tc>
        <w:tc>
          <w:tcPr>
            <w:tcW w:w="5760" w:type="dxa"/>
            <w:tcBorders>
              <w:top w:val="nil"/>
              <w:left w:val="nil"/>
              <w:bottom w:val="nil"/>
              <w:right w:val="nil"/>
            </w:tcBorders>
          </w:tcPr>
          <w:p w14:paraId="0B4E18AF" w14:textId="77777777" w:rsidR="006D15F7" w:rsidRPr="006B2E8B" w:rsidRDefault="006D15F7">
            <w:pPr>
              <w:pStyle w:val="cTableText"/>
              <w:numPr>
                <w:ilvl w:val="12"/>
                <w:numId w:val="0"/>
              </w:numPr>
            </w:pPr>
            <w:r w:rsidRPr="006B2E8B">
              <w:t xml:space="preserve">Less: Per Encounter Cost </w:t>
            </w:r>
            <w:proofErr w:type="gramStart"/>
            <w:r w:rsidRPr="006B2E8B">
              <w:t>With</w:t>
            </w:r>
            <w:proofErr w:type="gramEnd"/>
            <w:r w:rsidRPr="006B2E8B">
              <w:t xml:space="preserve"> Old Equipment</w:t>
            </w:r>
            <w:r w:rsidRPr="006B2E8B">
              <w:br/>
              <w:t>(Calculate Per Encounter Cost Using the Cost of the Old Equipment)</w:t>
            </w:r>
          </w:p>
        </w:tc>
      </w:tr>
      <w:tr w:rsidR="006D15F7" w:rsidRPr="006B2E8B" w14:paraId="18CEC7CA" w14:textId="77777777">
        <w:tc>
          <w:tcPr>
            <w:tcW w:w="1152" w:type="dxa"/>
            <w:tcBorders>
              <w:top w:val="nil"/>
              <w:left w:val="nil"/>
              <w:bottom w:val="nil"/>
              <w:right w:val="nil"/>
            </w:tcBorders>
          </w:tcPr>
          <w:p w14:paraId="2F21D8A1" w14:textId="77777777" w:rsidR="006D15F7" w:rsidRPr="006B2E8B" w:rsidRDefault="006D15F7">
            <w:pPr>
              <w:pStyle w:val="cTableText"/>
              <w:numPr>
                <w:ilvl w:val="12"/>
                <w:numId w:val="0"/>
              </w:numPr>
            </w:pPr>
            <w:r w:rsidRPr="006B2E8B">
              <w:t>$1.88</w:t>
            </w:r>
          </w:p>
        </w:tc>
        <w:tc>
          <w:tcPr>
            <w:tcW w:w="5760" w:type="dxa"/>
            <w:tcBorders>
              <w:top w:val="nil"/>
              <w:left w:val="nil"/>
              <w:bottom w:val="nil"/>
              <w:right w:val="nil"/>
            </w:tcBorders>
          </w:tcPr>
          <w:p w14:paraId="408065D1" w14:textId="77777777" w:rsidR="006D15F7" w:rsidRPr="006B2E8B" w:rsidRDefault="006D15F7">
            <w:pPr>
              <w:pStyle w:val="cTableText"/>
              <w:numPr>
                <w:ilvl w:val="12"/>
                <w:numId w:val="0"/>
              </w:numPr>
            </w:pPr>
            <w:r w:rsidRPr="006B2E8B">
              <w:t>Difference or 2.24% Increase</w:t>
            </w:r>
            <w:r w:rsidRPr="006B2E8B">
              <w:br/>
              <w:t>(Provider does not qualify for PPS rate increase for 2002)</w:t>
            </w:r>
          </w:p>
        </w:tc>
      </w:tr>
    </w:tbl>
    <w:p w14:paraId="4FD34116" w14:textId="77777777" w:rsidR="006D15F7" w:rsidRPr="006B2E8B" w:rsidRDefault="006D15F7">
      <w:pPr>
        <w:pStyle w:val="ctablespace"/>
        <w:numPr>
          <w:ilvl w:val="12"/>
          <w:numId w:val="0"/>
        </w:numPr>
        <w:ind w:left="360"/>
      </w:pPr>
    </w:p>
    <w:p w14:paraId="7674C560" w14:textId="77777777" w:rsidR="006D15F7" w:rsidRPr="006B2E8B" w:rsidRDefault="000B33FB" w:rsidP="000B33FB">
      <w:pPr>
        <w:pStyle w:val="cletteredindent"/>
      </w:pPr>
      <w:r w:rsidRPr="006B2E8B">
        <w:tab/>
      </w:r>
      <w:r w:rsidR="006D15F7" w:rsidRPr="006B2E8B">
        <w:t xml:space="preserve">FQHC provider XYZ then purchases more new lab equipment to replace </w:t>
      </w:r>
      <w:proofErr w:type="gramStart"/>
      <w:r w:rsidR="006D15F7" w:rsidRPr="006B2E8B">
        <w:t>old obsolete</w:t>
      </w:r>
      <w:proofErr w:type="gramEnd"/>
      <w:r w:rsidR="006D15F7" w:rsidRPr="006B2E8B">
        <w:t xml:space="preserve"> equipment as of </w:t>
      </w:r>
      <w:smartTag w:uri="urn:schemas-microsoft-com:office:smarttags" w:element="date">
        <w:smartTagPr>
          <w:attr w:name="Month" w:val="1"/>
          <w:attr w:name="Day" w:val="1"/>
          <w:attr w:name="Year" w:val="2003"/>
        </w:smartTagPr>
        <w:r w:rsidR="006D15F7" w:rsidRPr="006B2E8B">
          <w:t>January 1, 2003</w:t>
        </w:r>
      </w:smartTag>
      <w:r w:rsidR="006D15F7" w:rsidRPr="006B2E8B">
        <w:t xml:space="preserve">.  If the new equipment purchased </w:t>
      </w:r>
      <w:smartTag w:uri="urn:schemas-microsoft-com:office:smarttags" w:element="date">
        <w:smartTagPr>
          <w:attr w:name="Month" w:val="1"/>
          <w:attr w:name="Day" w:val="1"/>
          <w:attr w:name="Year" w:val="2002"/>
        </w:smartTagPr>
        <w:r w:rsidR="006D15F7" w:rsidRPr="006B2E8B">
          <w:t xml:space="preserve">January 1, </w:t>
        </w:r>
        <w:proofErr w:type="gramStart"/>
        <w:r w:rsidR="006D15F7" w:rsidRPr="006B2E8B">
          <w:t>2002</w:t>
        </w:r>
      </w:smartTag>
      <w:proofErr w:type="gramEnd"/>
      <w:r w:rsidR="006D15F7" w:rsidRPr="006B2E8B">
        <w:t xml:space="preserve"> and </w:t>
      </w:r>
      <w:smartTag w:uri="urn:schemas-microsoft-com:office:smarttags" w:element="date">
        <w:smartTagPr>
          <w:attr w:name="Month" w:val="1"/>
          <w:attr w:name="Day" w:val="1"/>
          <w:attr w:name="Year" w:val="2003"/>
        </w:smartTagPr>
        <w:r w:rsidR="006D15F7" w:rsidRPr="006B2E8B">
          <w:t xml:space="preserve">January 1, </w:t>
        </w:r>
        <w:proofErr w:type="gramStart"/>
        <w:r w:rsidR="006D15F7" w:rsidRPr="006B2E8B">
          <w:t>2003</w:t>
        </w:r>
      </w:smartTag>
      <w:proofErr w:type="gramEnd"/>
      <w:r w:rsidR="006D15F7" w:rsidRPr="006B2E8B">
        <w:t xml:space="preserve"> combined equals to at least a 5% difference during the reporting period ending </w:t>
      </w:r>
      <w:smartTag w:uri="urn:schemas-microsoft-com:office:smarttags" w:element="date">
        <w:smartTagPr>
          <w:attr w:name="Month" w:val="12"/>
          <w:attr w:name="Day" w:val="31"/>
          <w:attr w:name="Year" w:val="2003"/>
        </w:smartTagPr>
        <w:r w:rsidR="006D15F7" w:rsidRPr="006B2E8B">
          <w:t>December 31, 2003</w:t>
        </w:r>
      </w:smartTag>
      <w:r w:rsidR="006D15F7" w:rsidRPr="006B2E8B">
        <w:t>, a PPS rate change can be requested for 2003.</w:t>
      </w:r>
    </w:p>
    <w:p w14:paraId="78C4F2A7" w14:textId="77777777" w:rsidR="006D15F7" w:rsidRPr="006B2E8B" w:rsidRDefault="000B33FB" w:rsidP="000B33FB">
      <w:pPr>
        <w:pStyle w:val="cletteredindent"/>
      </w:pPr>
      <w:r w:rsidRPr="006B2E8B">
        <w:t>b.</w:t>
      </w:r>
      <w:r w:rsidRPr="006B2E8B">
        <w:tab/>
      </w:r>
      <w:r w:rsidR="006D15F7" w:rsidRPr="006B2E8B">
        <w:t>Reporting Period 2003</w:t>
      </w:r>
    </w:p>
    <w:p w14:paraId="369DD765" w14:textId="77777777" w:rsidR="006D15F7" w:rsidRPr="006B2E8B" w:rsidRDefault="006D15F7">
      <w:pPr>
        <w:pStyle w:val="ctablespace"/>
        <w:numPr>
          <w:ilvl w:val="12"/>
          <w:numId w:val="0"/>
        </w:numPr>
        <w:ind w:left="360"/>
      </w:pPr>
    </w:p>
    <w:tbl>
      <w:tblPr>
        <w:tblW w:w="0" w:type="auto"/>
        <w:tblInd w:w="2008" w:type="dxa"/>
        <w:tblLayout w:type="fixed"/>
        <w:tblLook w:val="0000" w:firstRow="0" w:lastRow="0" w:firstColumn="0" w:lastColumn="0" w:noHBand="0" w:noVBand="0"/>
      </w:tblPr>
      <w:tblGrid>
        <w:gridCol w:w="1146"/>
        <w:gridCol w:w="5760"/>
      </w:tblGrid>
      <w:tr w:rsidR="006D15F7" w:rsidRPr="006B2E8B" w14:paraId="542A0CE8" w14:textId="77777777">
        <w:tc>
          <w:tcPr>
            <w:tcW w:w="1146" w:type="dxa"/>
            <w:tcBorders>
              <w:top w:val="nil"/>
              <w:left w:val="nil"/>
              <w:bottom w:val="nil"/>
              <w:right w:val="nil"/>
            </w:tcBorders>
          </w:tcPr>
          <w:p w14:paraId="605D18BA" w14:textId="77777777" w:rsidR="006D15F7" w:rsidRPr="006B2E8B" w:rsidRDefault="006D15F7">
            <w:pPr>
              <w:pStyle w:val="cTableText"/>
              <w:numPr>
                <w:ilvl w:val="12"/>
                <w:numId w:val="0"/>
              </w:numPr>
            </w:pPr>
            <w:r w:rsidRPr="006B2E8B">
              <w:t>$89.27</w:t>
            </w:r>
          </w:p>
        </w:tc>
        <w:tc>
          <w:tcPr>
            <w:tcW w:w="5760" w:type="dxa"/>
            <w:tcBorders>
              <w:top w:val="nil"/>
              <w:left w:val="nil"/>
              <w:bottom w:val="nil"/>
              <w:right w:val="nil"/>
            </w:tcBorders>
          </w:tcPr>
          <w:p w14:paraId="6E8A8C02"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6BED364D" w14:textId="77777777">
        <w:tc>
          <w:tcPr>
            <w:tcW w:w="1146" w:type="dxa"/>
            <w:tcBorders>
              <w:top w:val="nil"/>
              <w:left w:val="nil"/>
              <w:bottom w:val="nil"/>
              <w:right w:val="nil"/>
            </w:tcBorders>
          </w:tcPr>
          <w:p w14:paraId="6C3DF493" w14:textId="77777777" w:rsidR="006D15F7" w:rsidRPr="006B2E8B" w:rsidRDefault="006D15F7">
            <w:pPr>
              <w:pStyle w:val="cTableText"/>
              <w:numPr>
                <w:ilvl w:val="12"/>
                <w:numId w:val="0"/>
              </w:numPr>
            </w:pPr>
            <w:r w:rsidRPr="006B2E8B">
              <w:rPr>
                <w:u w:val="single"/>
              </w:rPr>
              <w:t>(85.01)</w:t>
            </w:r>
          </w:p>
        </w:tc>
        <w:tc>
          <w:tcPr>
            <w:tcW w:w="5760" w:type="dxa"/>
            <w:tcBorders>
              <w:top w:val="nil"/>
              <w:left w:val="nil"/>
              <w:bottom w:val="nil"/>
              <w:right w:val="nil"/>
            </w:tcBorders>
          </w:tcPr>
          <w:p w14:paraId="1FDC9282" w14:textId="77777777" w:rsidR="006D15F7" w:rsidRPr="006B2E8B" w:rsidRDefault="006D15F7">
            <w:pPr>
              <w:pStyle w:val="cTableText"/>
              <w:numPr>
                <w:ilvl w:val="12"/>
                <w:numId w:val="0"/>
              </w:numPr>
            </w:pPr>
            <w:r w:rsidRPr="006B2E8B">
              <w:t>Less: Per Encounter Cost Without New Equipment</w:t>
            </w:r>
            <w:r w:rsidRPr="006B2E8B">
              <w:br/>
              <w:t>(Calculate Per Encounter Cost Using the Cost of the Old Equipment)</w:t>
            </w:r>
          </w:p>
        </w:tc>
      </w:tr>
      <w:tr w:rsidR="006D15F7" w:rsidRPr="006B2E8B" w14:paraId="08F3B05F" w14:textId="77777777">
        <w:tc>
          <w:tcPr>
            <w:tcW w:w="1146" w:type="dxa"/>
            <w:tcBorders>
              <w:top w:val="nil"/>
              <w:left w:val="nil"/>
              <w:bottom w:val="nil"/>
              <w:right w:val="nil"/>
            </w:tcBorders>
          </w:tcPr>
          <w:p w14:paraId="06492734" w14:textId="77777777" w:rsidR="006D15F7" w:rsidRPr="006B2E8B" w:rsidRDefault="006D15F7">
            <w:pPr>
              <w:pStyle w:val="cTableText"/>
              <w:numPr>
                <w:ilvl w:val="12"/>
                <w:numId w:val="0"/>
              </w:numPr>
            </w:pPr>
            <w:r w:rsidRPr="006B2E8B">
              <w:t>$4.26</w:t>
            </w:r>
          </w:p>
        </w:tc>
        <w:tc>
          <w:tcPr>
            <w:tcW w:w="5760" w:type="dxa"/>
            <w:tcBorders>
              <w:top w:val="nil"/>
              <w:left w:val="nil"/>
              <w:bottom w:val="nil"/>
              <w:right w:val="nil"/>
            </w:tcBorders>
          </w:tcPr>
          <w:p w14:paraId="3F71B9DA" w14:textId="77777777" w:rsidR="006D15F7" w:rsidRPr="006B2E8B" w:rsidRDefault="006D15F7">
            <w:pPr>
              <w:pStyle w:val="cTableText"/>
              <w:numPr>
                <w:ilvl w:val="12"/>
                <w:numId w:val="0"/>
              </w:numPr>
            </w:pPr>
            <w:r w:rsidRPr="006B2E8B">
              <w:t>Difference or 5.01% Increase</w:t>
            </w:r>
            <w:r w:rsidRPr="006B2E8B">
              <w:br/>
              <w:t>(Provider qualifies for PPS rate increase for 2003)</w:t>
            </w:r>
          </w:p>
        </w:tc>
      </w:tr>
    </w:tbl>
    <w:p w14:paraId="07C1EDA1" w14:textId="77777777" w:rsidR="006D15F7" w:rsidRPr="006B2E8B" w:rsidRDefault="006D15F7">
      <w:pPr>
        <w:pStyle w:val="ctablespace"/>
        <w:numPr>
          <w:ilvl w:val="12"/>
          <w:numId w:val="0"/>
        </w:numPr>
        <w:ind w:left="360"/>
      </w:pPr>
    </w:p>
    <w:p w14:paraId="35C5E70C" w14:textId="77777777" w:rsidR="006D15F7" w:rsidRPr="006B2E8B" w:rsidRDefault="003605DB" w:rsidP="003605DB">
      <w:pPr>
        <w:pStyle w:val="CLETTERED"/>
      </w:pPr>
      <w:r w:rsidRPr="006B2E8B">
        <w:lastRenderedPageBreak/>
        <w:t>F.</w:t>
      </w:r>
      <w:r w:rsidRPr="006B2E8B">
        <w:tab/>
      </w:r>
      <w:r w:rsidR="006D15F7" w:rsidRPr="006B2E8B">
        <w:t xml:space="preserve">PPS rate changes due to scope of services changes will be adjusted </w:t>
      </w:r>
      <w:proofErr w:type="gramStart"/>
      <w:r w:rsidR="006D15F7" w:rsidRPr="006B2E8B">
        <w:t>for the amount of</w:t>
      </w:r>
      <w:proofErr w:type="gramEnd"/>
      <w:r w:rsidR="006D15F7" w:rsidRPr="006B2E8B">
        <w:t xml:space="preserve"> the change only during the reporting period.</w:t>
      </w:r>
    </w:p>
    <w:p w14:paraId="043D7B9F" w14:textId="77777777" w:rsidR="006D15F7" w:rsidRPr="006B2E8B" w:rsidRDefault="003605DB" w:rsidP="003605DB">
      <w:pPr>
        <w:pStyle w:val="cnumbered"/>
      </w:pPr>
      <w:r w:rsidRPr="006B2E8B">
        <w:t>1.</w:t>
      </w:r>
      <w:r w:rsidRPr="006B2E8B">
        <w:tab/>
      </w:r>
      <w:r w:rsidR="006D15F7" w:rsidRPr="006B2E8B">
        <w:t xml:space="preserve">In Example 1, a PPS rate increase of $4.33 should be requested for the reporting period ending </w:t>
      </w:r>
      <w:smartTag w:uri="urn:schemas-microsoft-com:office:smarttags" w:element="date">
        <w:smartTagPr>
          <w:attr w:name="Month" w:val="12"/>
          <w:attr w:name="Day" w:val="31"/>
          <w:attr w:name="Year" w:val="2003"/>
        </w:smartTagPr>
        <w:r w:rsidR="006D15F7" w:rsidRPr="006B2E8B">
          <w:t>December 31, 2003</w:t>
        </w:r>
      </w:smartTag>
      <w:r w:rsidR="006D15F7" w:rsidRPr="006B2E8B">
        <w:t>.</w:t>
      </w:r>
    </w:p>
    <w:p w14:paraId="45BC4872" w14:textId="77777777" w:rsidR="006D15F7" w:rsidRPr="006B2E8B" w:rsidRDefault="003605DB" w:rsidP="003605DB">
      <w:pPr>
        <w:pStyle w:val="cnumbered"/>
      </w:pPr>
      <w:r w:rsidRPr="006B2E8B">
        <w:t>2.</w:t>
      </w:r>
      <w:r w:rsidRPr="006B2E8B">
        <w:tab/>
      </w:r>
      <w:r w:rsidR="006D15F7" w:rsidRPr="006B2E8B">
        <w:t xml:space="preserve">In Example 2, a PPS rate increase of $4.26 should be requested for the reporting period ending </w:t>
      </w:r>
      <w:smartTag w:uri="urn:schemas-microsoft-com:office:smarttags" w:element="date">
        <w:smartTagPr>
          <w:attr w:name="Month" w:val="12"/>
          <w:attr w:name="Day" w:val="31"/>
          <w:attr w:name="Year" w:val="2003"/>
        </w:smartTagPr>
        <w:r w:rsidR="006D15F7" w:rsidRPr="006B2E8B">
          <w:t>December 31, 2003</w:t>
        </w:r>
      </w:smartTag>
      <w:r w:rsidR="006D15F7" w:rsidRPr="006B2E8B">
        <w:t>.</w:t>
      </w:r>
    </w:p>
    <w:p w14:paraId="63341467" w14:textId="77777777" w:rsidR="006D15F7" w:rsidRPr="006B2E8B" w:rsidRDefault="003605DB" w:rsidP="003605DB">
      <w:pPr>
        <w:pStyle w:val="CLETTERED"/>
      </w:pPr>
      <w:r w:rsidRPr="006B2E8B">
        <w:t>G.</w:t>
      </w:r>
      <w:r w:rsidRPr="006B2E8B">
        <w:tab/>
      </w:r>
      <w:r w:rsidR="006D15F7" w:rsidRPr="006B2E8B">
        <w:t xml:space="preserve">Cost changes of less than 5% for a reporting year can only be used once </w:t>
      </w:r>
      <w:proofErr w:type="gramStart"/>
      <w:r w:rsidR="006D15F7" w:rsidRPr="006B2E8B">
        <w:t>in order to</w:t>
      </w:r>
      <w:proofErr w:type="gramEnd"/>
      <w:r w:rsidR="006D15F7" w:rsidRPr="006B2E8B">
        <w:t xml:space="preserve"> increase the PPS rate </w:t>
      </w:r>
      <w:proofErr w:type="gramStart"/>
      <w:r w:rsidR="006D15F7" w:rsidRPr="006B2E8B">
        <w:t>per</w:t>
      </w:r>
      <w:proofErr w:type="gramEnd"/>
      <w:r w:rsidR="006D15F7" w:rsidRPr="006B2E8B">
        <w:t xml:space="preserve"> scope of services changes.  Per Example 2 and if the $4.26 increase was approved, the cost increases incurred for new equipment purchased January 1, </w:t>
      </w:r>
      <w:proofErr w:type="gramStart"/>
      <w:r w:rsidR="006D15F7" w:rsidRPr="006B2E8B">
        <w:t>2003</w:t>
      </w:r>
      <w:proofErr w:type="gramEnd"/>
      <w:r w:rsidR="006D15F7" w:rsidRPr="006B2E8B">
        <w:t xml:space="preserve"> could not be used again with 2004 cost changes when calculating a percentage increase for 2004.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19B902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FFFAF33" w14:textId="77777777" w:rsidR="006D15F7" w:rsidRPr="006B2E8B" w:rsidRDefault="006D15F7">
            <w:pPr>
              <w:pStyle w:val="chead2"/>
              <w:numPr>
                <w:ilvl w:val="12"/>
                <w:numId w:val="0"/>
              </w:numPr>
              <w:ind w:left="1440" w:hanging="1440"/>
            </w:pPr>
            <w:bookmarkStart w:id="154" w:name="_Toc40064426"/>
            <w:bookmarkStart w:id="155" w:name="_Toc202162663"/>
            <w:r w:rsidRPr="006B2E8B">
              <w:t>252.130</w:t>
            </w:r>
            <w:r w:rsidRPr="006B2E8B">
              <w:tab/>
              <w:t xml:space="preserve">Rate Settling </w:t>
            </w:r>
            <w:proofErr w:type="gramStart"/>
            <w:r w:rsidRPr="006B2E8B">
              <w:t>For</w:t>
            </w:r>
            <w:proofErr w:type="gramEnd"/>
            <w:r w:rsidRPr="006B2E8B">
              <w:t xml:space="preserve"> Other Ambulatory Services Encounters</w:t>
            </w:r>
            <w:bookmarkEnd w:id="154"/>
            <w:bookmarkEnd w:id="155"/>
          </w:p>
        </w:tc>
        <w:tc>
          <w:tcPr>
            <w:tcW w:w="1238" w:type="dxa"/>
            <w:tcBorders>
              <w:top w:val="single" w:sz="6" w:space="0" w:color="FFFFFF"/>
              <w:left w:val="single" w:sz="6" w:space="0" w:color="FFFFFF"/>
              <w:bottom w:val="single" w:sz="6" w:space="0" w:color="FFFFFF"/>
              <w:right w:val="single" w:sz="6" w:space="0" w:color="FFFFFF"/>
            </w:tcBorders>
          </w:tcPr>
          <w:p w14:paraId="6EF11410"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37F679E5" w14:textId="77777777" w:rsidR="006D15F7" w:rsidRPr="006B2E8B" w:rsidRDefault="003605DB" w:rsidP="003605DB">
      <w:pPr>
        <w:pStyle w:val="CLETTERED"/>
      </w:pPr>
      <w:r w:rsidRPr="006B2E8B">
        <w:t>A.</w:t>
      </w:r>
      <w:r w:rsidRPr="006B2E8B">
        <w:tab/>
      </w:r>
      <w:r w:rsidR="006D15F7" w:rsidRPr="006B2E8B">
        <w:t xml:space="preserve">The initial </w:t>
      </w:r>
      <w:smartTag w:uri="urn:schemas-microsoft-com:office:smarttags" w:element="date">
        <w:smartTagPr>
          <w:attr w:name="Month" w:val="1"/>
          <w:attr w:name="Day" w:val="1"/>
          <w:attr w:name="Year" w:val="2001"/>
        </w:smartTagPr>
        <w:r w:rsidR="006D15F7" w:rsidRPr="006B2E8B">
          <w:t>January 1, 2001</w:t>
        </w:r>
      </w:smartTag>
      <w:r w:rsidR="006D15F7" w:rsidRPr="006B2E8B">
        <w:t>, PPS rate will include any necessary adjustment (further adjusted for inflation, per the MEI) for the cost of providing other ambulatory services.</w:t>
      </w:r>
    </w:p>
    <w:p w14:paraId="05AF097B" w14:textId="77777777" w:rsidR="006D15F7" w:rsidRPr="006B2E8B" w:rsidRDefault="003605DB" w:rsidP="003605DB">
      <w:pPr>
        <w:pStyle w:val="CLETTERED"/>
      </w:pPr>
      <w:r w:rsidRPr="006B2E8B">
        <w:t>B.</w:t>
      </w:r>
      <w:r w:rsidRPr="006B2E8B">
        <w:tab/>
      </w:r>
      <w:r w:rsidR="006D15F7" w:rsidRPr="006B2E8B">
        <w:t xml:space="preserve">For dates of service on and after </w:t>
      </w:r>
      <w:smartTag w:uri="urn:schemas-microsoft-com:office:smarttags" w:element="date">
        <w:smartTagPr>
          <w:attr w:name="Month" w:val="1"/>
          <w:attr w:name="Day" w:val="1"/>
          <w:attr w:name="Year" w:val="2001"/>
        </w:smartTagPr>
        <w:r w:rsidR="006D15F7" w:rsidRPr="006B2E8B">
          <w:t>January 1, 2001</w:t>
        </w:r>
      </w:smartTag>
      <w:r w:rsidR="006D15F7" w:rsidRPr="006B2E8B">
        <w:t xml:space="preserve">, Medicaid will continue to reimburse the FQHC on a fee-for-service basis for services defined as "other ambulatory services" within the program covering each </w:t>
      </w:r>
      <w:proofErr w:type="gramStart"/>
      <w:r w:rsidR="006D15F7" w:rsidRPr="006B2E8B">
        <w:t>particular service</w:t>
      </w:r>
      <w:proofErr w:type="gramEnd"/>
      <w:r w:rsidR="006D15F7" w:rsidRPr="006B2E8B">
        <w:t>.</w:t>
      </w:r>
    </w:p>
    <w:p w14:paraId="270B6B82" w14:textId="77777777" w:rsidR="006D15F7" w:rsidRPr="006B2E8B" w:rsidRDefault="003605DB" w:rsidP="003605DB">
      <w:pPr>
        <w:pStyle w:val="cnumbered"/>
      </w:pPr>
      <w:r w:rsidRPr="006B2E8B">
        <w:t>1.</w:t>
      </w:r>
      <w:r w:rsidRPr="006B2E8B">
        <w:tab/>
      </w:r>
      <w:r w:rsidR="006D15F7" w:rsidRPr="006B2E8B">
        <w:t xml:space="preserve">The FQHC must be enrolled as a "pay to" provider of that service </w:t>
      </w:r>
      <w:proofErr w:type="gramStart"/>
      <w:r w:rsidR="006D15F7" w:rsidRPr="006B2E8B">
        <w:t>in order to</w:t>
      </w:r>
      <w:proofErr w:type="gramEnd"/>
      <w:r w:rsidR="006D15F7" w:rsidRPr="006B2E8B">
        <w:t xml:space="preserve"> be reimbursed.</w:t>
      </w:r>
    </w:p>
    <w:p w14:paraId="7C281A10" w14:textId="77777777" w:rsidR="006D15F7" w:rsidRPr="006B2E8B" w:rsidRDefault="003605DB" w:rsidP="003605DB">
      <w:pPr>
        <w:pStyle w:val="cnumbered"/>
      </w:pPr>
      <w:r w:rsidRPr="006B2E8B">
        <w:t>2.</w:t>
      </w:r>
      <w:r w:rsidRPr="006B2E8B">
        <w:tab/>
      </w:r>
      <w:r w:rsidR="006D15F7" w:rsidRPr="006B2E8B">
        <w:t xml:space="preserve">The center will </w:t>
      </w:r>
      <w:proofErr w:type="gramStart"/>
      <w:r w:rsidR="006D15F7" w:rsidRPr="006B2E8B">
        <w:t>bill for</w:t>
      </w:r>
      <w:proofErr w:type="gramEnd"/>
      <w:r w:rsidR="006D15F7" w:rsidRPr="006B2E8B">
        <w:t xml:space="preserve"> dental services under the Dental Program, visual services under the Visual Care Program, etc.</w:t>
      </w:r>
    </w:p>
    <w:p w14:paraId="297CCEBA" w14:textId="77777777" w:rsidR="006D15F7" w:rsidRPr="006B2E8B" w:rsidRDefault="003605DB" w:rsidP="003605DB">
      <w:pPr>
        <w:pStyle w:val="cnumbered"/>
      </w:pPr>
      <w:r w:rsidRPr="006B2E8B">
        <w:t>3.</w:t>
      </w:r>
      <w:r w:rsidRPr="006B2E8B">
        <w:tab/>
      </w:r>
      <w:r w:rsidR="006D15F7" w:rsidRPr="006B2E8B">
        <w:t xml:space="preserve">Medicaid will initially reimburse the center for other ambulatory services encounters at the lesser of the billed charge or the established Medicaid maximum allowable for the service within the program </w:t>
      </w:r>
      <w:proofErr w:type="gramStart"/>
      <w:r w:rsidR="006D15F7" w:rsidRPr="006B2E8B">
        <w:t>in</w:t>
      </w:r>
      <w:proofErr w:type="gramEnd"/>
      <w:r w:rsidR="006D15F7" w:rsidRPr="006B2E8B">
        <w:t xml:space="preserve"> which it is billed.</w:t>
      </w:r>
    </w:p>
    <w:p w14:paraId="3413733D" w14:textId="77777777" w:rsidR="006D15F7" w:rsidRPr="006B2E8B" w:rsidRDefault="003605DB" w:rsidP="003605DB">
      <w:pPr>
        <w:pStyle w:val="cnumbered"/>
      </w:pPr>
      <w:r w:rsidRPr="006B2E8B">
        <w:t>4.</w:t>
      </w:r>
      <w:r w:rsidRPr="006B2E8B">
        <w:tab/>
      </w:r>
      <w:r w:rsidR="006D15F7" w:rsidRPr="006B2E8B">
        <w:t>Providers must bill Medicaid their customary charge for other ambulatory services.</w:t>
      </w:r>
    </w:p>
    <w:p w14:paraId="6938B171" w14:textId="77777777" w:rsidR="006D15F7" w:rsidRPr="006B2E8B" w:rsidRDefault="003605DB" w:rsidP="003605DB">
      <w:pPr>
        <w:pStyle w:val="CLETTERED"/>
      </w:pPr>
      <w:r w:rsidRPr="006B2E8B">
        <w:t>C.</w:t>
      </w:r>
      <w:r w:rsidRPr="006B2E8B">
        <w:tab/>
      </w:r>
      <w:r w:rsidR="006D15F7" w:rsidRPr="006B2E8B">
        <w:t xml:space="preserve">Centers adding other ambulatory services after </w:t>
      </w:r>
      <w:smartTag w:uri="urn:schemas-microsoft-com:office:smarttags" w:element="date">
        <w:smartTagPr>
          <w:attr w:name="Month" w:val="1"/>
          <w:attr w:name="Day" w:val="1"/>
          <w:attr w:name="Year" w:val="2001"/>
        </w:smartTagPr>
        <w:r w:rsidR="006D15F7" w:rsidRPr="006B2E8B">
          <w:t>January 1, 2001</w:t>
        </w:r>
      </w:smartTag>
      <w:r w:rsidR="006D15F7" w:rsidRPr="006B2E8B">
        <w:t>, may be eligible for a scope of services PPS rate change under the conditions explained in Sections 252.120 and 252.220.</w:t>
      </w:r>
    </w:p>
    <w:p w14:paraId="3EFC246D" w14:textId="77777777" w:rsidR="006D15F7" w:rsidRPr="006B2E8B" w:rsidRDefault="003605DB" w:rsidP="003605DB">
      <w:pPr>
        <w:pStyle w:val="CLETTERED"/>
      </w:pPr>
      <w:r w:rsidRPr="006B2E8B">
        <w:t>D.</w:t>
      </w:r>
      <w:r w:rsidRPr="006B2E8B">
        <w:tab/>
      </w:r>
      <w:r w:rsidR="006D15F7" w:rsidRPr="006B2E8B">
        <w:t xml:space="preserve">Other ambulatory services encounters will be rate </w:t>
      </w:r>
      <w:proofErr w:type="gramStart"/>
      <w:r w:rsidR="006D15F7" w:rsidRPr="006B2E8B">
        <w:t>settled up</w:t>
      </w:r>
      <w:proofErr w:type="gramEnd"/>
      <w:r w:rsidR="006D15F7" w:rsidRPr="006B2E8B">
        <w:t xml:space="preserve"> to the PPS rate annually.  The settlement period will be for dates of service occurring July 1 through June 30, the same period that is inflated </w:t>
      </w:r>
      <w:proofErr w:type="gramStart"/>
      <w:r w:rsidR="006D15F7" w:rsidRPr="006B2E8B">
        <w:t>per</w:t>
      </w:r>
      <w:proofErr w:type="gramEnd"/>
      <w:r w:rsidR="006D15F7" w:rsidRPr="006B2E8B">
        <w:t xml:space="preserve"> the MEI.</w:t>
      </w:r>
    </w:p>
    <w:p w14:paraId="6A0E4469" w14:textId="77777777" w:rsidR="006D15F7" w:rsidRPr="006B2E8B" w:rsidRDefault="003605DB" w:rsidP="003605DB">
      <w:pPr>
        <w:pStyle w:val="CLETTERED"/>
      </w:pPr>
      <w:r w:rsidRPr="006B2E8B">
        <w:t>E.</w:t>
      </w:r>
      <w:r w:rsidRPr="006B2E8B">
        <w:tab/>
      </w:r>
      <w:r w:rsidR="006D15F7" w:rsidRPr="006B2E8B">
        <w:t>Pharmacy reimbursement and costs are not included for cost settlement purposes.  Pharmacy services are considered reimbursed at cost through the Pharmacy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D541F6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0634FAE" w14:textId="77777777" w:rsidR="006D15F7" w:rsidRPr="006B2E8B" w:rsidRDefault="006D15F7">
            <w:pPr>
              <w:pStyle w:val="chead2"/>
              <w:numPr>
                <w:ilvl w:val="12"/>
                <w:numId w:val="0"/>
              </w:numPr>
              <w:ind w:left="1440" w:hanging="1440"/>
            </w:pPr>
            <w:bookmarkStart w:id="156" w:name="_Toc40064427"/>
            <w:bookmarkStart w:id="157" w:name="_Toc202162664"/>
            <w:r w:rsidRPr="006B2E8B">
              <w:t>252.140</w:t>
            </w:r>
            <w:r w:rsidRPr="006B2E8B">
              <w:tab/>
              <w:t>Rate Settling for Services Reported by CPT or HCPCS Procedure Code Other Than the FQHC Encounter Code</w:t>
            </w:r>
            <w:bookmarkEnd w:id="156"/>
            <w:bookmarkEnd w:id="157"/>
          </w:p>
        </w:tc>
        <w:tc>
          <w:tcPr>
            <w:tcW w:w="1238" w:type="dxa"/>
            <w:tcBorders>
              <w:top w:val="single" w:sz="6" w:space="0" w:color="FFFFFF"/>
              <w:left w:val="single" w:sz="6" w:space="0" w:color="FFFFFF"/>
              <w:bottom w:val="single" w:sz="6" w:space="0" w:color="FFFFFF"/>
              <w:right w:val="single" w:sz="6" w:space="0" w:color="FFFFFF"/>
            </w:tcBorders>
          </w:tcPr>
          <w:p w14:paraId="3CF49064"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F465CEE" w14:textId="77777777" w:rsidR="006D15F7" w:rsidRPr="006B2E8B" w:rsidRDefault="006D15F7">
      <w:pPr>
        <w:pStyle w:val="ctext"/>
        <w:numPr>
          <w:ilvl w:val="12"/>
          <w:numId w:val="0"/>
        </w:numPr>
        <w:ind w:left="360"/>
      </w:pPr>
      <w:r w:rsidRPr="006B2E8B">
        <w:t>Arkansas Medicaid initially reimburses FQHCs for some services reported by CPT or HCPCS procedure codes other than the FQHC encounter code.  They are later rate-settled as encounters in the same manner as other ambulatory services are rate-settled.  See Section 260.000 for procedure codes and billing information.</w:t>
      </w:r>
    </w:p>
    <w:p w14:paraId="79680979" w14:textId="77777777" w:rsidR="006D15F7" w:rsidRPr="006B2E8B" w:rsidRDefault="003605DB" w:rsidP="003605DB">
      <w:pPr>
        <w:pStyle w:val="CLETTERED"/>
      </w:pPr>
      <w:r w:rsidRPr="006B2E8B">
        <w:t>A.</w:t>
      </w:r>
      <w:r w:rsidRPr="006B2E8B">
        <w:tab/>
      </w:r>
      <w:r w:rsidR="006D15F7" w:rsidRPr="006B2E8B">
        <w:t>Effective for dates of service on and after January 1, 2003, the procedure codes listed in this manual, the Child Health Services (EPSDT) provider manual and the ARKids First-B Provider Manual (with the exception of the FQHC encounter procedure code and the telemedicine procedure code) will be initially reimbursed in accordance with the Arkansas Medicaid fee schedule, at the lesser of the billed charge or the Medicaid maximum allowable fee.</w:t>
      </w:r>
    </w:p>
    <w:p w14:paraId="27406045" w14:textId="77777777" w:rsidR="006D15F7" w:rsidRPr="006B2E8B" w:rsidRDefault="003605DB" w:rsidP="003605DB">
      <w:pPr>
        <w:pStyle w:val="CLETTERED"/>
      </w:pPr>
      <w:r w:rsidRPr="006B2E8B">
        <w:lastRenderedPageBreak/>
        <w:t>B.</w:t>
      </w:r>
      <w:r w:rsidRPr="006B2E8B">
        <w:tab/>
      </w:r>
      <w:r w:rsidR="006D15F7" w:rsidRPr="006B2E8B">
        <w:t>The telemedicine procedure code and procedure codes for ancillary services, except for family planning-related laboratory procedures listed in this manual, will be denied.</w:t>
      </w:r>
    </w:p>
    <w:p w14:paraId="6BB9ED89" w14:textId="77777777" w:rsidR="006D15F7" w:rsidRPr="006B2E8B" w:rsidRDefault="003605DB" w:rsidP="003605DB">
      <w:pPr>
        <w:pStyle w:val="CLETTERED"/>
      </w:pPr>
      <w:proofErr w:type="gramStart"/>
      <w:r w:rsidRPr="006B2E8B">
        <w:t>C.</w:t>
      </w:r>
      <w:r w:rsidRPr="006B2E8B">
        <w:tab/>
      </w:r>
      <w:r w:rsidR="006D15F7" w:rsidRPr="006B2E8B">
        <w:t>Except</w:t>
      </w:r>
      <w:proofErr w:type="gramEnd"/>
      <w:r w:rsidR="006D15F7" w:rsidRPr="006B2E8B">
        <w:t xml:space="preserve"> for ancillary services (lab, </w:t>
      </w:r>
      <w:proofErr w:type="gramStart"/>
      <w:r w:rsidR="006D15F7" w:rsidRPr="006B2E8B">
        <w:t>X-ray</w:t>
      </w:r>
      <w:proofErr w:type="gramEnd"/>
      <w:r w:rsidR="006D15F7" w:rsidRPr="006B2E8B">
        <w:t xml:space="preserve"> and machine tests), FQHC providers may not bill Medicaid with procedure codes that are not listed in this provider manual, the Child Health Services (EPSDT) provider manual and the ARKids First-B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88EB02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6DAA2FE" w14:textId="77777777" w:rsidR="006D15F7" w:rsidRPr="006B2E8B" w:rsidRDefault="006D15F7">
            <w:pPr>
              <w:pStyle w:val="chead2"/>
              <w:numPr>
                <w:ilvl w:val="12"/>
                <w:numId w:val="0"/>
              </w:numPr>
              <w:ind w:left="1440" w:hanging="1440"/>
            </w:pPr>
            <w:bookmarkStart w:id="158" w:name="_Toc40064428"/>
            <w:bookmarkStart w:id="159" w:name="_Toc202162665"/>
            <w:r w:rsidRPr="006B2E8B">
              <w:t>252.141</w:t>
            </w:r>
            <w:r w:rsidRPr="006B2E8B">
              <w:tab/>
              <w:t>Rate Settling for Vaccines for Children (VFC) Program Immunization Administration</w:t>
            </w:r>
            <w:bookmarkEnd w:id="158"/>
            <w:bookmarkEnd w:id="159"/>
          </w:p>
        </w:tc>
        <w:tc>
          <w:tcPr>
            <w:tcW w:w="1238" w:type="dxa"/>
            <w:tcBorders>
              <w:top w:val="single" w:sz="6" w:space="0" w:color="FFFFFF"/>
              <w:left w:val="single" w:sz="6" w:space="0" w:color="FFFFFF"/>
              <w:bottom w:val="single" w:sz="6" w:space="0" w:color="FFFFFF"/>
              <w:right w:val="single" w:sz="6" w:space="0" w:color="FFFFFF"/>
            </w:tcBorders>
          </w:tcPr>
          <w:p w14:paraId="1CABDECA"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650931B8" w14:textId="77777777" w:rsidR="006D15F7" w:rsidRPr="006B2E8B" w:rsidRDefault="006D15F7">
      <w:pPr>
        <w:pStyle w:val="ctext"/>
        <w:numPr>
          <w:ilvl w:val="12"/>
          <w:numId w:val="0"/>
        </w:numPr>
        <w:ind w:left="360"/>
      </w:pPr>
      <w:r w:rsidRPr="006B2E8B">
        <w:t>Medicaid requires FQHCs to report VFC immunization administration by procedure code and applicable modifier.  Medicaid pays interim reimbursement to FQHCs for the administration.  The vaccine administration is incident to an encounter and is rate-settled as such.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350DA8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CC5405A" w14:textId="77777777" w:rsidR="006D15F7" w:rsidRPr="006B2E8B" w:rsidRDefault="006D15F7">
            <w:pPr>
              <w:pStyle w:val="chead2"/>
              <w:numPr>
                <w:ilvl w:val="12"/>
                <w:numId w:val="0"/>
              </w:numPr>
              <w:ind w:left="1440" w:hanging="1440"/>
            </w:pPr>
            <w:bookmarkStart w:id="160" w:name="_Toc40064429"/>
            <w:bookmarkStart w:id="161" w:name="_Toc202162666"/>
            <w:r w:rsidRPr="006B2E8B">
              <w:t>252.200</w:t>
            </w:r>
            <w:r w:rsidRPr="006B2E8B">
              <w:tab/>
              <w:t xml:space="preserve">Alternative Reimbursement Methodology for Dates of Service on and after </w:t>
            </w:r>
            <w:smartTag w:uri="urn:schemas-microsoft-com:office:smarttags" w:element="date">
              <w:smartTagPr>
                <w:attr w:name="Month" w:val="1"/>
                <w:attr w:name="Day" w:val="1"/>
                <w:attr w:name="Year" w:val="2001"/>
              </w:smartTagPr>
              <w:r w:rsidRPr="006B2E8B">
                <w:t>January 1, 2001</w:t>
              </w:r>
            </w:smartTag>
            <w:bookmarkEnd w:id="160"/>
            <w:bookmarkEnd w:id="161"/>
          </w:p>
        </w:tc>
        <w:tc>
          <w:tcPr>
            <w:tcW w:w="1238" w:type="dxa"/>
            <w:tcBorders>
              <w:top w:val="single" w:sz="6" w:space="0" w:color="FFFFFF"/>
              <w:left w:val="single" w:sz="6" w:space="0" w:color="FFFFFF"/>
              <w:bottom w:val="single" w:sz="6" w:space="0" w:color="FFFFFF"/>
              <w:right w:val="single" w:sz="6" w:space="0" w:color="FFFFFF"/>
            </w:tcBorders>
          </w:tcPr>
          <w:p w14:paraId="264294B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2FDCF611" w14:textId="77777777" w:rsidR="006D15F7" w:rsidRPr="006B2E8B" w:rsidRDefault="006D15F7">
      <w:pPr>
        <w:pStyle w:val="ctext"/>
        <w:numPr>
          <w:ilvl w:val="12"/>
          <w:numId w:val="0"/>
        </w:numPr>
        <w:ind w:left="360"/>
      </w:pPr>
      <w:r w:rsidRPr="006B2E8B">
        <w:t>Written and signed agreements will be obtained from all FQHC providers who choose this alternative method.</w:t>
      </w:r>
    </w:p>
    <w:p w14:paraId="4AD8AF69" w14:textId="77777777" w:rsidR="006D15F7" w:rsidRPr="006B2E8B" w:rsidRDefault="003605DB" w:rsidP="003605DB">
      <w:pPr>
        <w:pStyle w:val="CLETTERED"/>
      </w:pPr>
      <w:r w:rsidRPr="006B2E8B">
        <w:t>A.</w:t>
      </w:r>
      <w:r w:rsidRPr="006B2E8B">
        <w:tab/>
      </w:r>
      <w:r w:rsidR="006D15F7" w:rsidRPr="006B2E8B">
        <w:t>In accordance with Section 1902(aa) of the Social Security Act as amended by the Benefits Improvement and Protection Act (BIPA) of 2000, effective for dates of service occurring January 1, 2001 and after, FQHCs will be reimbursed an interim per encounter rate for Medicaid covered services with cost settlement at the greater of 100% of reasonable costs or the allowable per encounter rate as determined under the prospective payment system (PPS).</w:t>
      </w:r>
    </w:p>
    <w:p w14:paraId="75CE22B0" w14:textId="77777777" w:rsidR="006D15F7" w:rsidRPr="006B2E8B" w:rsidRDefault="003605DB" w:rsidP="003605DB">
      <w:pPr>
        <w:pStyle w:val="CLETTERED"/>
      </w:pPr>
      <w:r w:rsidRPr="006B2E8B">
        <w:t>B.</w:t>
      </w:r>
      <w:r w:rsidRPr="006B2E8B">
        <w:tab/>
      </w:r>
      <w:r w:rsidR="006D15F7" w:rsidRPr="006B2E8B">
        <w:t>Cost settlement will be determined from provider-submitted cost reports.  See Section 250.000 for cost settlement procedures.</w:t>
      </w:r>
    </w:p>
    <w:p w14:paraId="0015A816" w14:textId="77777777" w:rsidR="006D15F7" w:rsidRPr="006B2E8B" w:rsidRDefault="003605DB" w:rsidP="003605DB">
      <w:pPr>
        <w:pStyle w:val="CLETTERED"/>
      </w:pPr>
      <w:r w:rsidRPr="006B2E8B">
        <w:t>C.</w:t>
      </w:r>
      <w:r w:rsidRPr="006B2E8B">
        <w:tab/>
      </w:r>
      <w:r w:rsidR="006D15F7" w:rsidRPr="006B2E8B">
        <w:t xml:space="preserve">Separate cost settlements will be made for cost reporting periods with dates of service occurring before and beginning </w:t>
      </w:r>
      <w:smartTag w:uri="urn:schemas-microsoft-com:office:smarttags" w:element="date">
        <w:smartTagPr>
          <w:attr w:name="Month" w:val="1"/>
          <w:attr w:name="Day" w:val="1"/>
          <w:attr w:name="Year" w:val="2001"/>
        </w:smartTagPr>
        <w:r w:rsidR="006D15F7" w:rsidRPr="006B2E8B">
          <w:t>January 1, 2001</w:t>
        </w:r>
      </w:smartTag>
      <w:r w:rsidR="006D15F7" w:rsidRPr="006B2E8B">
        <w:t xml:space="preserve">, based on the number of Medicaid encounters provided before and beginning </w:t>
      </w:r>
      <w:smartTag w:uri="urn:schemas-microsoft-com:office:smarttags" w:element="date">
        <w:smartTagPr>
          <w:attr w:name="Month" w:val="1"/>
          <w:attr w:name="Day" w:val="1"/>
          <w:attr w:name="Year" w:val="2001"/>
        </w:smartTagPr>
        <w:r w:rsidR="006D15F7" w:rsidRPr="006B2E8B">
          <w:t>January 1, 2001</w:t>
        </w:r>
      </w:smartTag>
      <w:r w:rsidR="006D15F7" w:rsidRPr="006B2E8B">
        <w:t>.</w:t>
      </w:r>
    </w:p>
    <w:p w14:paraId="59DE0811" w14:textId="77777777" w:rsidR="006D15F7" w:rsidRPr="006B2E8B" w:rsidRDefault="003605DB" w:rsidP="003605DB">
      <w:pPr>
        <w:pStyle w:val="cnumbered"/>
      </w:pPr>
      <w:r w:rsidRPr="006B2E8B">
        <w:t>1.</w:t>
      </w:r>
      <w:r w:rsidRPr="006B2E8B">
        <w:tab/>
      </w:r>
      <w:r w:rsidR="006D15F7" w:rsidRPr="006B2E8B">
        <w:t xml:space="preserve">An encounter means </w:t>
      </w:r>
      <w:proofErr w:type="gramStart"/>
      <w:r w:rsidR="006D15F7" w:rsidRPr="006B2E8B">
        <w:t>a face</w:t>
      </w:r>
      <w:proofErr w:type="gramEnd"/>
      <w:r w:rsidR="006D15F7" w:rsidRPr="006B2E8B">
        <w:t>-to-face contact between an FQHC patient and any health professional whose services are reimbursed under the Arkansas Title XIX (Medicaid) State Plan.</w:t>
      </w:r>
    </w:p>
    <w:p w14:paraId="35E8573C" w14:textId="77777777" w:rsidR="006D15F7" w:rsidRPr="006B2E8B" w:rsidRDefault="003605DB" w:rsidP="003605DB">
      <w:pPr>
        <w:pStyle w:val="cnumbered"/>
      </w:pPr>
      <w:r w:rsidRPr="006B2E8B">
        <w:t>2.</w:t>
      </w:r>
      <w:r w:rsidRPr="006B2E8B">
        <w:tab/>
      </w:r>
      <w:r w:rsidR="006D15F7" w:rsidRPr="006B2E8B">
        <w:t>Contacts with more than one health professional and multiple contacts with the same health professional that take place on the same day and at a single location constitute a single encounter, except when the patient, after the first encounter, suffers illness or injury requiring additional diagnosis or treatment.</w:t>
      </w:r>
    </w:p>
    <w:p w14:paraId="2D675EDB" w14:textId="77777777" w:rsidR="006D15F7" w:rsidRPr="006B2E8B" w:rsidRDefault="003605DB" w:rsidP="003605DB">
      <w:pPr>
        <w:pStyle w:val="cnumbered"/>
      </w:pPr>
      <w:r w:rsidRPr="006B2E8B">
        <w:t>3.</w:t>
      </w:r>
      <w:r w:rsidRPr="006B2E8B">
        <w:tab/>
      </w:r>
      <w:r w:rsidR="006D15F7" w:rsidRPr="006B2E8B">
        <w:t>A patient of the FQHC may have a separate family planning encounter during the same visit to the FQHC for a core service encounter; however, a family planning visit is not reimbursed separately when it takes place on the same day as a family planning surgical procedure.</w:t>
      </w:r>
    </w:p>
    <w:p w14:paraId="71AECB07" w14:textId="77777777" w:rsidR="006D15F7" w:rsidRPr="006B2E8B" w:rsidRDefault="003605DB" w:rsidP="003605DB">
      <w:pPr>
        <w:pStyle w:val="cnumbered"/>
      </w:pPr>
      <w:r w:rsidRPr="006B2E8B">
        <w:t>4.</w:t>
      </w:r>
      <w:r w:rsidRPr="006B2E8B">
        <w:tab/>
      </w:r>
      <w:r w:rsidR="006D15F7" w:rsidRPr="006B2E8B">
        <w:t>An FQHC encounter is not reimbursed separately on the same day as an obstetric or gynecologic procedure that the FQHC reports by CPT procedure code unless the encounter is for a different disorder or condition.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8ED413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9AFB2B8" w14:textId="77777777" w:rsidR="006D15F7" w:rsidRPr="006B2E8B" w:rsidRDefault="006D15F7">
            <w:pPr>
              <w:pStyle w:val="chead2"/>
              <w:numPr>
                <w:ilvl w:val="12"/>
                <w:numId w:val="0"/>
              </w:numPr>
              <w:ind w:left="1440" w:hanging="1440"/>
            </w:pPr>
            <w:bookmarkStart w:id="162" w:name="_Toc40064430"/>
            <w:bookmarkStart w:id="163" w:name="_Toc202162667"/>
            <w:r w:rsidRPr="006B2E8B">
              <w:t>252.210</w:t>
            </w:r>
            <w:r w:rsidRPr="006B2E8B">
              <w:tab/>
              <w:t>Calculation of PPS Per Encounter Rate</w:t>
            </w:r>
            <w:bookmarkEnd w:id="162"/>
            <w:bookmarkEnd w:id="163"/>
          </w:p>
        </w:tc>
        <w:tc>
          <w:tcPr>
            <w:tcW w:w="1238" w:type="dxa"/>
            <w:tcBorders>
              <w:top w:val="single" w:sz="6" w:space="0" w:color="FFFFFF"/>
              <w:left w:val="single" w:sz="6" w:space="0" w:color="FFFFFF"/>
              <w:bottom w:val="single" w:sz="6" w:space="0" w:color="FFFFFF"/>
              <w:right w:val="single" w:sz="6" w:space="0" w:color="FFFFFF"/>
            </w:tcBorders>
          </w:tcPr>
          <w:p w14:paraId="44681B54"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70EC347F" w14:textId="77777777" w:rsidR="006D15F7" w:rsidRPr="006B2E8B" w:rsidRDefault="003605DB" w:rsidP="003605DB">
      <w:pPr>
        <w:pStyle w:val="CLETTERED"/>
      </w:pPr>
      <w:r w:rsidRPr="006B2E8B">
        <w:t>A.</w:t>
      </w:r>
      <w:r w:rsidRPr="006B2E8B">
        <w:tab/>
      </w:r>
      <w:r w:rsidR="006D15F7" w:rsidRPr="006B2E8B">
        <w:t xml:space="preserve">The PPS per encounter rate for each center will be calculated based on 100% of the average of the center's reasonable costs for providing Medicaid-covered services as determined from audited cost reports with ending dates in </w:t>
      </w:r>
      <w:proofErr w:type="gramStart"/>
      <w:r w:rsidR="006D15F7" w:rsidRPr="006B2E8B">
        <w:t>calendar</w:t>
      </w:r>
      <w:proofErr w:type="gramEnd"/>
      <w:r w:rsidR="006D15F7" w:rsidRPr="006B2E8B">
        <w:t xml:space="preserve"> year 1999 and </w:t>
      </w:r>
      <w:proofErr w:type="gramStart"/>
      <w:r w:rsidR="006D15F7" w:rsidRPr="006B2E8B">
        <w:t>calendar</w:t>
      </w:r>
      <w:proofErr w:type="gramEnd"/>
      <w:r w:rsidR="006D15F7" w:rsidRPr="006B2E8B">
        <w:t xml:space="preserve"> year 2000.</w:t>
      </w:r>
    </w:p>
    <w:p w14:paraId="30A6D197" w14:textId="77777777" w:rsidR="006D15F7" w:rsidRPr="006B2E8B" w:rsidRDefault="003605DB" w:rsidP="003605DB">
      <w:pPr>
        <w:pStyle w:val="cnumbered"/>
      </w:pPr>
      <w:r w:rsidRPr="006B2E8B">
        <w:lastRenderedPageBreak/>
        <w:t>1.</w:t>
      </w:r>
      <w:r w:rsidRPr="006B2E8B">
        <w:tab/>
      </w:r>
      <w:r w:rsidR="006D15F7" w:rsidRPr="006B2E8B">
        <w:t>Reasonable costs are defined as those costs which are allowable under Medicare cost principles outlined in 42 CFR 413.</w:t>
      </w:r>
    </w:p>
    <w:p w14:paraId="0AC3659A" w14:textId="77777777" w:rsidR="006D15F7" w:rsidRPr="006B2E8B" w:rsidRDefault="003605DB" w:rsidP="003605DB">
      <w:pPr>
        <w:pStyle w:val="cnumbered"/>
      </w:pPr>
      <w:r w:rsidRPr="006B2E8B">
        <w:t>2.</w:t>
      </w:r>
      <w:r w:rsidRPr="006B2E8B">
        <w:tab/>
      </w:r>
      <w:r w:rsidR="006D15F7" w:rsidRPr="006B2E8B">
        <w:t>Cost reports used for rate setting purposes must cover a fiscal period of at least a full six months.</w:t>
      </w:r>
    </w:p>
    <w:p w14:paraId="051D6CF6" w14:textId="77777777" w:rsidR="006D15F7" w:rsidRPr="006B2E8B" w:rsidRDefault="003605DB" w:rsidP="003605DB">
      <w:pPr>
        <w:pStyle w:val="cnumbered"/>
      </w:pPr>
      <w:r w:rsidRPr="006B2E8B">
        <w:t>3.</w:t>
      </w:r>
      <w:r w:rsidRPr="006B2E8B">
        <w:tab/>
      </w:r>
      <w:r w:rsidR="006D15F7" w:rsidRPr="006B2E8B">
        <w:t>If a provider has more than one cost report period ending in the same calendar year, Arkansas Medicaid will use the most recent cost report to calculate rates.</w:t>
      </w:r>
    </w:p>
    <w:p w14:paraId="54E9CCB1" w14:textId="77777777" w:rsidR="006D15F7" w:rsidRPr="006B2E8B" w:rsidRDefault="003605DB" w:rsidP="003605DB">
      <w:pPr>
        <w:pStyle w:val="CLETTERED"/>
      </w:pPr>
      <w:r w:rsidRPr="006B2E8B">
        <w:t>B.</w:t>
      </w:r>
      <w:r w:rsidRPr="006B2E8B">
        <w:tab/>
      </w:r>
      <w:r w:rsidR="006D15F7" w:rsidRPr="006B2E8B">
        <w:t xml:space="preserve">PPS per encounter rates </w:t>
      </w:r>
      <w:proofErr w:type="gramStart"/>
      <w:r w:rsidR="006D15F7" w:rsidRPr="006B2E8B">
        <w:t>are</w:t>
      </w:r>
      <w:proofErr w:type="gramEnd"/>
      <w:r w:rsidR="006D15F7" w:rsidRPr="006B2E8B">
        <w:t xml:space="preserve"> calculated by adding the total audited allowable costs as determined from the 1999 and 2000 cost reports and dividing the total by the total audited encounters for these two periods.</w:t>
      </w:r>
    </w:p>
    <w:p w14:paraId="285E8C67" w14:textId="77777777" w:rsidR="006D15F7" w:rsidRPr="006B2E8B" w:rsidRDefault="003605DB" w:rsidP="003605DB">
      <w:pPr>
        <w:pStyle w:val="cnumbered"/>
      </w:pPr>
      <w:r w:rsidRPr="006B2E8B">
        <w:t>1.</w:t>
      </w:r>
      <w:r w:rsidRPr="006B2E8B">
        <w:tab/>
      </w:r>
      <w:r w:rsidR="006D15F7" w:rsidRPr="006B2E8B">
        <w:t>Allowable costs for each period used to set the initial PPS rate include applicable adjustments in accordance with the Medicare Economic Index (MEI) for primary care services, an index compiled and published by the Centers for Medicare and Medicaid Services.</w:t>
      </w:r>
    </w:p>
    <w:p w14:paraId="4E3D06B0" w14:textId="77777777" w:rsidR="006D15F7" w:rsidRPr="006B2E8B" w:rsidRDefault="003605DB" w:rsidP="003605DB">
      <w:pPr>
        <w:pStyle w:val="cnumbered"/>
      </w:pPr>
      <w:r w:rsidRPr="006B2E8B">
        <w:t>2.</w:t>
      </w:r>
      <w:r w:rsidRPr="006B2E8B">
        <w:tab/>
      </w:r>
      <w:r w:rsidR="006D15F7" w:rsidRPr="006B2E8B">
        <w:t xml:space="preserve">Interim rates are implemented as of </w:t>
      </w:r>
      <w:smartTag w:uri="urn:schemas-microsoft-com:office:smarttags" w:element="date">
        <w:smartTagPr>
          <w:attr w:name="Month" w:val="1"/>
          <w:attr w:name="Day" w:val="1"/>
          <w:attr w:name="Year" w:val="2001"/>
        </w:smartTagPr>
        <w:r w:rsidR="006D15F7" w:rsidRPr="006B2E8B">
          <w:t>January 1, 2001</w:t>
        </w:r>
      </w:smartTag>
      <w:r w:rsidR="006D15F7" w:rsidRPr="006B2E8B">
        <w:t>, at the average cost per encounter as determined from the two most recent provider cost reports.</w:t>
      </w:r>
    </w:p>
    <w:p w14:paraId="16365B6B" w14:textId="77777777" w:rsidR="006D15F7" w:rsidRPr="006B2E8B" w:rsidRDefault="003605DB" w:rsidP="003605DB">
      <w:pPr>
        <w:pStyle w:val="cnumbered"/>
      </w:pPr>
      <w:r w:rsidRPr="006B2E8B">
        <w:t>3.</w:t>
      </w:r>
      <w:r w:rsidRPr="006B2E8B">
        <w:tab/>
      </w:r>
      <w:r w:rsidR="006D15F7" w:rsidRPr="006B2E8B">
        <w:t xml:space="preserve">Interim rates are calculated by adding the per-encounter costs </w:t>
      </w:r>
      <w:proofErr w:type="gramStart"/>
      <w:r w:rsidR="006D15F7" w:rsidRPr="006B2E8B">
        <w:t>of</w:t>
      </w:r>
      <w:proofErr w:type="gramEnd"/>
      <w:r w:rsidR="006D15F7" w:rsidRPr="006B2E8B">
        <w:t xml:space="preserve"> the two periods and dividing the total by two.</w:t>
      </w:r>
    </w:p>
    <w:p w14:paraId="3E5DC44E" w14:textId="77777777" w:rsidR="006D15F7" w:rsidRPr="006B2E8B" w:rsidRDefault="003605DB" w:rsidP="003605DB">
      <w:pPr>
        <w:pStyle w:val="CLETTERED"/>
      </w:pPr>
      <w:r w:rsidRPr="006B2E8B">
        <w:t>C.</w:t>
      </w:r>
      <w:r w:rsidRPr="006B2E8B">
        <w:tab/>
      </w:r>
      <w:r w:rsidR="006D15F7" w:rsidRPr="006B2E8B">
        <w:t xml:space="preserve">Interim rates, </w:t>
      </w:r>
      <w:proofErr w:type="gramStart"/>
      <w:r w:rsidR="006D15F7" w:rsidRPr="006B2E8B">
        <w:t>initial PPS rates and final PPS rates will be adjusted annually by the Medicare Economic Index (MEI)</w:t>
      </w:r>
      <w:proofErr w:type="gramEnd"/>
      <w:r w:rsidR="006D15F7" w:rsidRPr="006B2E8B">
        <w:t xml:space="preserve"> for primary care services.</w:t>
      </w:r>
    </w:p>
    <w:p w14:paraId="2E40B329" w14:textId="77777777" w:rsidR="006D15F7" w:rsidRPr="006B2E8B" w:rsidRDefault="003605DB" w:rsidP="003605DB">
      <w:pPr>
        <w:pStyle w:val="cnumbered"/>
      </w:pPr>
      <w:r w:rsidRPr="006B2E8B">
        <w:t>1.</w:t>
      </w:r>
      <w:r w:rsidRPr="006B2E8B">
        <w:tab/>
      </w:r>
      <w:r w:rsidR="006D15F7" w:rsidRPr="006B2E8B">
        <w:t>Rate adjustments will be equal to the previous calendar year's index percentage change and will be effective as of the first day of the provider's fiscal period.</w:t>
      </w:r>
    </w:p>
    <w:p w14:paraId="03260909" w14:textId="77777777" w:rsidR="006D15F7" w:rsidRPr="006B2E8B" w:rsidRDefault="003605DB" w:rsidP="003605DB">
      <w:pPr>
        <w:pStyle w:val="cnumbered"/>
      </w:pPr>
      <w:r w:rsidRPr="006B2E8B">
        <w:t>2.</w:t>
      </w:r>
      <w:r w:rsidRPr="006B2E8B">
        <w:tab/>
      </w:r>
      <w:r w:rsidR="006D15F7" w:rsidRPr="006B2E8B">
        <w:t xml:space="preserve">Annual MEI increases will be reduced </w:t>
      </w:r>
      <w:proofErr w:type="gramStart"/>
      <w:r w:rsidR="006D15F7" w:rsidRPr="006B2E8B">
        <w:t>per</w:t>
      </w:r>
      <w:proofErr w:type="gramEnd"/>
      <w:r w:rsidR="006D15F7" w:rsidRPr="006B2E8B">
        <w:t xml:space="preserve"> the number of applicable months if already used in the calculation of the initial </w:t>
      </w:r>
      <w:smartTag w:uri="urn:schemas-microsoft-com:office:smarttags" w:element="date">
        <w:smartTagPr>
          <w:attr w:name="Month" w:val="1"/>
          <w:attr w:name="Day" w:val="1"/>
          <w:attr w:name="Year" w:val="2001"/>
        </w:smartTagPr>
        <w:r w:rsidR="006D15F7" w:rsidRPr="006B2E8B">
          <w:t xml:space="preserve">January 1, </w:t>
        </w:r>
        <w:proofErr w:type="gramStart"/>
        <w:r w:rsidR="006D15F7" w:rsidRPr="006B2E8B">
          <w:t>2001</w:t>
        </w:r>
      </w:smartTag>
      <w:proofErr w:type="gramEnd"/>
      <w:r w:rsidR="006D15F7" w:rsidRPr="006B2E8B">
        <w:t xml:space="preserve"> rate.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578183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5354947" w14:textId="77777777" w:rsidR="006D15F7" w:rsidRPr="006B2E8B" w:rsidRDefault="006D15F7">
            <w:pPr>
              <w:pStyle w:val="chead2"/>
              <w:numPr>
                <w:ilvl w:val="12"/>
                <w:numId w:val="0"/>
              </w:numPr>
              <w:ind w:left="1440" w:hanging="1440"/>
            </w:pPr>
            <w:bookmarkStart w:id="164" w:name="_Toc40064431"/>
            <w:bookmarkStart w:id="165" w:name="_Toc202162668"/>
            <w:r w:rsidRPr="006B2E8B">
              <w:t>252.211</w:t>
            </w:r>
            <w:r w:rsidRPr="006B2E8B">
              <w:tab/>
              <w:t>Provider-Initiated PPS Rate Reductions</w:t>
            </w:r>
            <w:bookmarkEnd w:id="164"/>
            <w:bookmarkEnd w:id="165"/>
          </w:p>
        </w:tc>
        <w:tc>
          <w:tcPr>
            <w:tcW w:w="1238" w:type="dxa"/>
            <w:tcBorders>
              <w:top w:val="single" w:sz="6" w:space="0" w:color="FFFFFF"/>
              <w:left w:val="single" w:sz="6" w:space="0" w:color="FFFFFF"/>
              <w:bottom w:val="single" w:sz="6" w:space="0" w:color="FFFFFF"/>
              <w:right w:val="single" w:sz="6" w:space="0" w:color="FFFFFF"/>
            </w:tcBorders>
          </w:tcPr>
          <w:p w14:paraId="48490CAD" w14:textId="77777777" w:rsidR="006D15F7" w:rsidRPr="006B2E8B" w:rsidRDefault="006D15F7">
            <w:pPr>
              <w:pStyle w:val="cDate2"/>
              <w:numPr>
                <w:ilvl w:val="12"/>
                <w:numId w:val="0"/>
              </w:numPr>
            </w:pPr>
            <w:smartTag w:uri="urn:schemas-microsoft-com:office:smarttags" w:element="date">
              <w:smartTagPr>
                <w:attr w:name="Month" w:val="10"/>
                <w:attr w:name="Day" w:val="13"/>
                <w:attr w:name="Year" w:val="2003"/>
              </w:smartTagPr>
              <w:r w:rsidRPr="006B2E8B">
                <w:t>10-13-03</w:t>
              </w:r>
            </w:smartTag>
          </w:p>
        </w:tc>
      </w:tr>
    </w:tbl>
    <w:p w14:paraId="5B451DB7" w14:textId="77777777" w:rsidR="006D15F7" w:rsidRPr="006B2E8B" w:rsidRDefault="006D15F7">
      <w:pPr>
        <w:pStyle w:val="ctext"/>
        <w:numPr>
          <w:ilvl w:val="12"/>
          <w:numId w:val="0"/>
        </w:numPr>
        <w:ind w:left="360"/>
      </w:pPr>
      <w:r w:rsidRPr="006B2E8B">
        <w:t>Providers will receive written notification of interim rate revisions in advance of the implementation of the revised rates.</w:t>
      </w:r>
    </w:p>
    <w:p w14:paraId="0591D05F" w14:textId="77777777" w:rsidR="006D15F7" w:rsidRPr="006B2E8B" w:rsidRDefault="003605DB" w:rsidP="003605DB">
      <w:pPr>
        <w:pStyle w:val="CLETTERED"/>
      </w:pPr>
      <w:r w:rsidRPr="006B2E8B">
        <w:t>A.</w:t>
      </w:r>
      <w:r w:rsidRPr="006B2E8B">
        <w:tab/>
      </w:r>
      <w:r w:rsidR="006D15F7" w:rsidRPr="006B2E8B">
        <w:t xml:space="preserve">Providers may request reductions of up to 20% of their </w:t>
      </w:r>
      <w:smartTag w:uri="urn:schemas-microsoft-com:office:smarttags" w:element="date">
        <w:smartTagPr>
          <w:attr w:name="Month" w:val="1"/>
          <w:attr w:name="Day" w:val="1"/>
          <w:attr w:name="Year" w:val="2001"/>
        </w:smartTagPr>
        <w:r w:rsidR="006D15F7" w:rsidRPr="006B2E8B">
          <w:t>January 1, 2001</w:t>
        </w:r>
      </w:smartTag>
      <w:r w:rsidR="006D15F7" w:rsidRPr="006B2E8B">
        <w:t>, interim rates by submitting a written request within 21 days after notification by Medicaid of their new interim rate.</w:t>
      </w:r>
    </w:p>
    <w:p w14:paraId="45F38CA6" w14:textId="77777777" w:rsidR="006D15F7" w:rsidRPr="006B2E8B" w:rsidRDefault="003605DB" w:rsidP="003605DB">
      <w:pPr>
        <w:pStyle w:val="CLETTERED"/>
      </w:pPr>
      <w:r w:rsidRPr="006B2E8B">
        <w:t>B.</w:t>
      </w:r>
      <w:r w:rsidRPr="006B2E8B">
        <w:tab/>
      </w:r>
      <w:r w:rsidR="006D15F7" w:rsidRPr="006B2E8B">
        <w:t>Thereafter, interim rates will be established at the allowable cost per encounter as determined from the most recent audited cost report and will be effective as of the first day after the audited cost report period.</w:t>
      </w:r>
    </w:p>
    <w:p w14:paraId="2B67A8BA" w14:textId="105E9E5F" w:rsidR="006D15F7" w:rsidRPr="006B2E8B" w:rsidRDefault="003605DB" w:rsidP="003605DB">
      <w:pPr>
        <w:pStyle w:val="CLETTERED"/>
      </w:pPr>
      <w:r w:rsidRPr="006B2E8B">
        <w:t>C.</w:t>
      </w:r>
      <w:r w:rsidRPr="006B2E8B">
        <w:tab/>
      </w:r>
      <w:r w:rsidR="006D15F7" w:rsidRPr="006B2E8B">
        <w:t xml:space="preserve">Providers may request reductions of up to 10% of subsequent interim rates by submitting a written request within 21 days after notification by Medicaid of a new interim rate.  Submit interim rate reduction requests to </w:t>
      </w:r>
      <w:proofErr w:type="gramStart"/>
      <w:r w:rsidR="006D15F7" w:rsidRPr="006B2E8B">
        <w:t>Division</w:t>
      </w:r>
      <w:proofErr w:type="gramEnd"/>
      <w:r w:rsidR="006D15F7" w:rsidRPr="006B2E8B">
        <w:t xml:space="preserve"> of Medical Services, Financial Activities Unit.  </w:t>
      </w:r>
      <w:hyperlink r:id="rId33" w:history="1">
        <w:r w:rsidR="006D15F7" w:rsidRPr="006B2E8B">
          <w:rPr>
            <w:rStyle w:val="Hyperlink"/>
          </w:rPr>
          <w:t>View or print DMS, Financial Activities Unit contact information</w:t>
        </w:r>
      </w:hyperlink>
      <w:r w:rsidR="006D15F7" w:rsidRPr="006B2E8B">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AECC49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2C0BB0A" w14:textId="77777777" w:rsidR="006D15F7" w:rsidRPr="006B2E8B" w:rsidRDefault="006D15F7">
            <w:pPr>
              <w:pStyle w:val="chead2"/>
              <w:numPr>
                <w:ilvl w:val="12"/>
                <w:numId w:val="0"/>
              </w:numPr>
              <w:ind w:left="1440" w:hanging="1440"/>
            </w:pPr>
            <w:bookmarkStart w:id="166" w:name="_Toc40064432"/>
            <w:bookmarkStart w:id="167" w:name="_Toc202162669"/>
            <w:r w:rsidRPr="006B2E8B">
              <w:t>252.220</w:t>
            </w:r>
            <w:r w:rsidRPr="006B2E8B">
              <w:tab/>
              <w:t>Rate Adjustments for Scope of Services Changes</w:t>
            </w:r>
            <w:bookmarkEnd w:id="166"/>
            <w:bookmarkEnd w:id="167"/>
          </w:p>
        </w:tc>
        <w:tc>
          <w:tcPr>
            <w:tcW w:w="1238" w:type="dxa"/>
            <w:tcBorders>
              <w:top w:val="single" w:sz="6" w:space="0" w:color="FFFFFF"/>
              <w:left w:val="single" w:sz="6" w:space="0" w:color="FFFFFF"/>
              <w:bottom w:val="single" w:sz="6" w:space="0" w:color="FFFFFF"/>
              <w:right w:val="single" w:sz="6" w:space="0" w:color="FFFFFF"/>
            </w:tcBorders>
          </w:tcPr>
          <w:p w14:paraId="76D455CE" w14:textId="77777777" w:rsidR="006D15F7" w:rsidRPr="006B2E8B" w:rsidRDefault="006D15F7">
            <w:pPr>
              <w:pStyle w:val="cDate2"/>
              <w:numPr>
                <w:ilvl w:val="12"/>
                <w:numId w:val="0"/>
              </w:numPr>
            </w:pPr>
            <w:smartTag w:uri="urn:schemas-microsoft-com:office:smarttags" w:element="date">
              <w:smartTagPr>
                <w:attr w:name="Year" w:val="2003"/>
                <w:attr w:name="Day" w:val="13"/>
                <w:attr w:name="Month" w:val="10"/>
              </w:smartTagPr>
              <w:r w:rsidRPr="006B2E8B">
                <w:t>10-13-03</w:t>
              </w:r>
            </w:smartTag>
          </w:p>
        </w:tc>
      </w:tr>
    </w:tbl>
    <w:p w14:paraId="783F696A" w14:textId="77777777" w:rsidR="006D15F7" w:rsidRPr="006B2E8B" w:rsidRDefault="003605DB" w:rsidP="003605DB">
      <w:pPr>
        <w:pStyle w:val="CLETTERED"/>
      </w:pPr>
      <w:r w:rsidRPr="006B2E8B">
        <w:t>A.</w:t>
      </w:r>
      <w:r w:rsidRPr="006B2E8B">
        <w:tab/>
      </w:r>
      <w:r w:rsidR="006D15F7" w:rsidRPr="006B2E8B">
        <w:t>Each center's PPS per encounter rate will be adjusted to account for increases or decreases in scope of services.  Scope of services changes are defined as:</w:t>
      </w:r>
    </w:p>
    <w:p w14:paraId="33BBF20F" w14:textId="77777777" w:rsidR="006D15F7" w:rsidRPr="006B2E8B" w:rsidRDefault="003605DB" w:rsidP="003605DB">
      <w:pPr>
        <w:pStyle w:val="cnumbered"/>
      </w:pPr>
      <w:r w:rsidRPr="006B2E8B">
        <w:t>1.</w:t>
      </w:r>
      <w:r w:rsidRPr="006B2E8B">
        <w:tab/>
      </w:r>
      <w:r w:rsidR="006D15F7" w:rsidRPr="006B2E8B">
        <w:t>An addition or deletion of an FQHC-covered service,</w:t>
      </w:r>
    </w:p>
    <w:p w14:paraId="4C41E850" w14:textId="77777777" w:rsidR="006D15F7" w:rsidRPr="006B2E8B" w:rsidRDefault="003605DB" w:rsidP="003605DB">
      <w:pPr>
        <w:pStyle w:val="cnumbered"/>
      </w:pPr>
      <w:r w:rsidRPr="006B2E8B">
        <w:t>2.</w:t>
      </w:r>
      <w:r w:rsidRPr="006B2E8B">
        <w:tab/>
      </w:r>
      <w:r w:rsidR="006D15F7" w:rsidRPr="006B2E8B">
        <w:t xml:space="preserve">A change in the magnitude, </w:t>
      </w:r>
      <w:proofErr w:type="gramStart"/>
      <w:r w:rsidR="006D15F7" w:rsidRPr="006B2E8B">
        <w:t>intensity</w:t>
      </w:r>
      <w:proofErr w:type="gramEnd"/>
      <w:r w:rsidR="006D15F7" w:rsidRPr="006B2E8B">
        <w:t xml:space="preserve"> or character of currently offered FQHC-covered services,</w:t>
      </w:r>
    </w:p>
    <w:p w14:paraId="177A2E1D" w14:textId="77777777" w:rsidR="006D15F7" w:rsidRPr="006B2E8B" w:rsidRDefault="003605DB" w:rsidP="003605DB">
      <w:pPr>
        <w:pStyle w:val="cnumbered"/>
      </w:pPr>
      <w:r w:rsidRPr="006B2E8B">
        <w:t>3.</w:t>
      </w:r>
      <w:r w:rsidRPr="006B2E8B">
        <w:tab/>
      </w:r>
      <w:r w:rsidR="006D15F7" w:rsidRPr="006B2E8B">
        <w:t>A change in state or federal regulatory requirements,</w:t>
      </w:r>
    </w:p>
    <w:p w14:paraId="4547DB56" w14:textId="77777777" w:rsidR="006D15F7" w:rsidRPr="006B2E8B" w:rsidRDefault="003605DB" w:rsidP="003605DB">
      <w:pPr>
        <w:pStyle w:val="cnumbered"/>
      </w:pPr>
      <w:r w:rsidRPr="006B2E8B">
        <w:lastRenderedPageBreak/>
        <w:t>4.</w:t>
      </w:r>
      <w:r w:rsidRPr="006B2E8B">
        <w:tab/>
      </w:r>
      <w:r w:rsidR="006D15F7" w:rsidRPr="006B2E8B">
        <w:t>Changes due to relocation, remodeling, opening a new clinic site or closing an existing clinic site,</w:t>
      </w:r>
    </w:p>
    <w:p w14:paraId="70B6530C" w14:textId="77777777" w:rsidR="006D15F7" w:rsidRPr="006B2E8B" w:rsidRDefault="003605DB" w:rsidP="003605DB">
      <w:pPr>
        <w:pStyle w:val="cnumbered"/>
      </w:pPr>
      <w:r w:rsidRPr="006B2E8B">
        <w:t>5.</w:t>
      </w:r>
      <w:r w:rsidRPr="006B2E8B">
        <w:tab/>
      </w:r>
      <w:r w:rsidR="006D15F7" w:rsidRPr="006B2E8B">
        <w:t>A change in applicable technologies and medical practices or</w:t>
      </w:r>
    </w:p>
    <w:p w14:paraId="1D9CE747" w14:textId="77777777" w:rsidR="006D15F7" w:rsidRPr="006B2E8B" w:rsidRDefault="003605DB" w:rsidP="003605DB">
      <w:pPr>
        <w:pStyle w:val="cnumbered"/>
      </w:pPr>
      <w:r w:rsidRPr="006B2E8B">
        <w:t>6.</w:t>
      </w:r>
      <w:r w:rsidRPr="006B2E8B">
        <w:tab/>
      </w:r>
      <w:r w:rsidR="006D15F7" w:rsidRPr="006B2E8B">
        <w:t>A change due to recurring taxes, malpractice insurance premiums or workmen's compensation insurance premiums that were not recognized and included in the base year's rate calculation.</w:t>
      </w:r>
    </w:p>
    <w:p w14:paraId="27614245" w14:textId="77777777" w:rsidR="006D15F7" w:rsidRPr="006B2E8B" w:rsidRDefault="003605DB" w:rsidP="003605DB">
      <w:pPr>
        <w:pStyle w:val="CLETTERED"/>
      </w:pPr>
      <w:r w:rsidRPr="006B2E8B">
        <w:t>B.</w:t>
      </w:r>
      <w:r w:rsidRPr="006B2E8B">
        <w:tab/>
      </w:r>
      <w:r w:rsidR="006D15F7" w:rsidRPr="006B2E8B">
        <w:t>The following examples of scope of services changes are offered as guidance to understanding their definition, not as a definitive and comprehensive delineation of that definition.</w:t>
      </w:r>
    </w:p>
    <w:p w14:paraId="593822BD" w14:textId="77777777" w:rsidR="006D15F7" w:rsidRPr="006B2E8B" w:rsidRDefault="003605DB" w:rsidP="003605DB">
      <w:pPr>
        <w:pStyle w:val="cnumbered"/>
      </w:pPr>
      <w:r w:rsidRPr="006B2E8B">
        <w:t>1.</w:t>
      </w:r>
      <w:r w:rsidRPr="006B2E8B">
        <w:tab/>
      </w:r>
      <w:r w:rsidR="006D15F7" w:rsidRPr="006B2E8B">
        <w:t>Examples of adding or deleting an FQHC-covered service include adding or deleting dental services or mental health services.</w:t>
      </w:r>
    </w:p>
    <w:p w14:paraId="5999860C" w14:textId="77777777" w:rsidR="006D15F7" w:rsidRPr="006B2E8B" w:rsidRDefault="003605DB" w:rsidP="003605DB">
      <w:pPr>
        <w:pStyle w:val="cnumbered"/>
      </w:pPr>
      <w:r w:rsidRPr="006B2E8B">
        <w:t>2.</w:t>
      </w:r>
      <w:r w:rsidRPr="006B2E8B">
        <w:tab/>
      </w:r>
      <w:r w:rsidR="006D15F7" w:rsidRPr="006B2E8B">
        <w:t xml:space="preserve">Examples of changes in the magnitude, </w:t>
      </w:r>
      <w:proofErr w:type="gramStart"/>
      <w:r w:rsidR="006D15F7" w:rsidRPr="006B2E8B">
        <w:t>intensity</w:t>
      </w:r>
      <w:proofErr w:type="gramEnd"/>
      <w:r w:rsidR="006D15F7" w:rsidRPr="006B2E8B">
        <w:t xml:space="preserve"> or character of currently offered FQHC-covered services may include:</w:t>
      </w:r>
    </w:p>
    <w:p w14:paraId="71B86EF2" w14:textId="77777777" w:rsidR="006D15F7" w:rsidRPr="006B2E8B" w:rsidRDefault="003605DB" w:rsidP="003605DB">
      <w:pPr>
        <w:pStyle w:val="cletteredindent"/>
      </w:pPr>
      <w:r w:rsidRPr="006B2E8B">
        <w:t>a.</w:t>
      </w:r>
      <w:r w:rsidRPr="006B2E8B">
        <w:tab/>
      </w:r>
      <w:r w:rsidR="006D15F7" w:rsidRPr="006B2E8B">
        <w:t>Adding or deleting specialties or specialists (e.g., pediatrics, geriatric specialists) or</w:t>
      </w:r>
    </w:p>
    <w:p w14:paraId="4B852C08" w14:textId="77777777" w:rsidR="006D15F7" w:rsidRPr="006B2E8B" w:rsidRDefault="003605DB" w:rsidP="003605DB">
      <w:pPr>
        <w:pStyle w:val="cletteredindent"/>
      </w:pPr>
      <w:r w:rsidRPr="006B2E8B">
        <w:t>b.</w:t>
      </w:r>
      <w:r w:rsidRPr="006B2E8B">
        <w:tab/>
      </w:r>
      <w:r w:rsidR="006D15F7" w:rsidRPr="006B2E8B">
        <w:t>Adding or deleting HIV services or chronic disease treatments.</w:t>
      </w:r>
    </w:p>
    <w:p w14:paraId="4EF6FAF5" w14:textId="77777777" w:rsidR="006D15F7" w:rsidRPr="006B2E8B" w:rsidRDefault="003605DB" w:rsidP="003605DB">
      <w:pPr>
        <w:pStyle w:val="cnumbered"/>
      </w:pPr>
      <w:r w:rsidRPr="006B2E8B">
        <w:t>3.</w:t>
      </w:r>
      <w:r w:rsidRPr="006B2E8B">
        <w:tab/>
      </w:r>
      <w:r w:rsidR="006D15F7" w:rsidRPr="006B2E8B">
        <w:t>Changes in state or federal regulatory requirements may result in:</w:t>
      </w:r>
    </w:p>
    <w:p w14:paraId="740670DA" w14:textId="77777777" w:rsidR="006D15F7" w:rsidRPr="006B2E8B" w:rsidRDefault="003605DB" w:rsidP="003605DB">
      <w:pPr>
        <w:pStyle w:val="cletteredindent"/>
      </w:pPr>
      <w:r w:rsidRPr="006B2E8B">
        <w:t>a.</w:t>
      </w:r>
      <w:r w:rsidRPr="006B2E8B">
        <w:tab/>
      </w:r>
      <w:r w:rsidR="006D15F7" w:rsidRPr="006B2E8B">
        <w:t xml:space="preserve">Mandated revisions in the types of practitioners and professional personnel employed by the center (including ratios of assistants or nursing staff to </w:t>
      </w:r>
      <w:proofErr w:type="gramStart"/>
      <w:r w:rsidR="006D15F7" w:rsidRPr="006B2E8B">
        <w:t>particular practitioners</w:t>
      </w:r>
      <w:proofErr w:type="gramEnd"/>
      <w:r w:rsidR="006D15F7" w:rsidRPr="006B2E8B">
        <w:t>) or</w:t>
      </w:r>
    </w:p>
    <w:p w14:paraId="362451F5" w14:textId="77777777" w:rsidR="006D15F7" w:rsidRPr="006B2E8B" w:rsidRDefault="003605DB" w:rsidP="003605DB">
      <w:pPr>
        <w:pStyle w:val="cletteredindent"/>
      </w:pPr>
      <w:r w:rsidRPr="006B2E8B">
        <w:t>b.</w:t>
      </w:r>
      <w:r w:rsidRPr="006B2E8B">
        <w:tab/>
      </w:r>
      <w:r w:rsidR="006D15F7" w:rsidRPr="006B2E8B">
        <w:t xml:space="preserve">Changes in support service equipment or personnel, such as those related to lab and X-ray or other automated diagnostic services, subject to reasonable </w:t>
      </w:r>
      <w:proofErr w:type="gramStart"/>
      <w:r w:rsidR="006D15F7" w:rsidRPr="006B2E8B">
        <w:t>costs</w:t>
      </w:r>
      <w:proofErr w:type="gramEnd"/>
      <w:r w:rsidR="006D15F7" w:rsidRPr="006B2E8B">
        <w:t xml:space="preserve"> criteria identified at 42 CFR 413.</w:t>
      </w:r>
    </w:p>
    <w:p w14:paraId="2A68FA19" w14:textId="77777777" w:rsidR="006D15F7" w:rsidRPr="006B2E8B" w:rsidRDefault="003605DB" w:rsidP="003605DB">
      <w:pPr>
        <w:pStyle w:val="cnumbered"/>
      </w:pPr>
      <w:r w:rsidRPr="006B2E8B">
        <w:t>4.</w:t>
      </w:r>
      <w:r w:rsidRPr="006B2E8B">
        <w:tab/>
      </w:r>
      <w:r w:rsidR="006D15F7" w:rsidRPr="006B2E8B">
        <w:t>Item 4 in part A provides its own examples.</w:t>
      </w:r>
    </w:p>
    <w:p w14:paraId="184F5F9C" w14:textId="77777777" w:rsidR="006D15F7" w:rsidRPr="006B2E8B" w:rsidRDefault="003605DB" w:rsidP="003605DB">
      <w:pPr>
        <w:pStyle w:val="cnumbered"/>
      </w:pPr>
      <w:r w:rsidRPr="006B2E8B">
        <w:t>5.</w:t>
      </w:r>
      <w:r w:rsidRPr="006B2E8B">
        <w:tab/>
      </w:r>
      <w:r w:rsidR="006D15F7" w:rsidRPr="006B2E8B">
        <w:t>Examples of changes in applicable technologies and medical practices may include:</w:t>
      </w:r>
    </w:p>
    <w:p w14:paraId="3813A4EF" w14:textId="77777777" w:rsidR="006D15F7" w:rsidRPr="006B2E8B" w:rsidRDefault="003605DB" w:rsidP="003605DB">
      <w:pPr>
        <w:pStyle w:val="cletteredindent"/>
      </w:pPr>
      <w:r w:rsidRPr="006B2E8B">
        <w:t>a.</w:t>
      </w:r>
      <w:r w:rsidRPr="006B2E8B">
        <w:tab/>
      </w:r>
      <w:r w:rsidR="006D15F7" w:rsidRPr="006B2E8B">
        <w:t>Replacing obsolete computer systems or computer hardware,</w:t>
      </w:r>
    </w:p>
    <w:p w14:paraId="64AB46AE" w14:textId="77777777" w:rsidR="006D15F7" w:rsidRPr="006B2E8B" w:rsidRDefault="003605DB" w:rsidP="003605DB">
      <w:pPr>
        <w:pStyle w:val="cletteredindent"/>
      </w:pPr>
      <w:r w:rsidRPr="006B2E8B">
        <w:t>b.</w:t>
      </w:r>
      <w:r w:rsidRPr="006B2E8B">
        <w:tab/>
      </w:r>
      <w:r w:rsidR="006D15F7" w:rsidRPr="006B2E8B">
        <w:t>Automating medical records,</w:t>
      </w:r>
    </w:p>
    <w:p w14:paraId="19C36398" w14:textId="77777777" w:rsidR="006D15F7" w:rsidRPr="006B2E8B" w:rsidRDefault="003605DB" w:rsidP="003605DB">
      <w:pPr>
        <w:pStyle w:val="cletteredindent"/>
      </w:pPr>
      <w:r w:rsidRPr="006B2E8B">
        <w:t>c.</w:t>
      </w:r>
      <w:r w:rsidRPr="006B2E8B">
        <w:tab/>
      </w:r>
      <w:r w:rsidR="006D15F7" w:rsidRPr="006B2E8B">
        <w:t>Updating software or replacing obsolete software,</w:t>
      </w:r>
    </w:p>
    <w:p w14:paraId="77D084A6" w14:textId="77777777" w:rsidR="006D15F7" w:rsidRPr="006B2E8B" w:rsidRDefault="003605DB" w:rsidP="003605DB">
      <w:pPr>
        <w:pStyle w:val="cletteredindent"/>
      </w:pPr>
      <w:r w:rsidRPr="006B2E8B">
        <w:t>d.</w:t>
      </w:r>
      <w:r w:rsidRPr="006B2E8B">
        <w:tab/>
      </w:r>
      <w:r w:rsidR="006D15F7" w:rsidRPr="006B2E8B">
        <w:t>Converting to wireless communications systems or</w:t>
      </w:r>
    </w:p>
    <w:p w14:paraId="157DCA9F" w14:textId="77777777" w:rsidR="006D15F7" w:rsidRPr="006B2E8B" w:rsidRDefault="003605DB" w:rsidP="003605DB">
      <w:pPr>
        <w:pStyle w:val="cletteredindent"/>
      </w:pPr>
      <w:r w:rsidRPr="006B2E8B">
        <w:t>e.</w:t>
      </w:r>
      <w:r w:rsidRPr="006B2E8B">
        <w:tab/>
      </w:r>
      <w:r w:rsidR="006D15F7" w:rsidRPr="006B2E8B">
        <w:t xml:space="preserve">Updating or replacing obsolete diagnostic equipment (which may necessitate personnel changes), subject to reasonable </w:t>
      </w:r>
      <w:proofErr w:type="gramStart"/>
      <w:r w:rsidR="006D15F7" w:rsidRPr="006B2E8B">
        <w:t>costs</w:t>
      </w:r>
      <w:proofErr w:type="gramEnd"/>
      <w:r w:rsidR="006D15F7" w:rsidRPr="006B2E8B">
        <w:t xml:space="preserve"> criteria identified at 42 CFR 413.</w:t>
      </w:r>
    </w:p>
    <w:p w14:paraId="15D2E20C" w14:textId="77777777" w:rsidR="006D15F7" w:rsidRPr="006B2E8B" w:rsidRDefault="003605DB" w:rsidP="003605DB">
      <w:pPr>
        <w:pStyle w:val="cnumbered"/>
      </w:pPr>
      <w:r w:rsidRPr="006B2E8B">
        <w:t>6.</w:t>
      </w:r>
      <w:r w:rsidRPr="006B2E8B">
        <w:tab/>
      </w:r>
      <w:r w:rsidR="006D15F7" w:rsidRPr="006B2E8B">
        <w:t>Item 6 in part A provides its own examples.</w:t>
      </w:r>
    </w:p>
    <w:p w14:paraId="5636A73F" w14:textId="77777777" w:rsidR="006D15F7" w:rsidRPr="006B2E8B" w:rsidRDefault="003605DB" w:rsidP="003605DB">
      <w:pPr>
        <w:pStyle w:val="CLETTERED"/>
      </w:pPr>
      <w:r w:rsidRPr="006B2E8B">
        <w:t>C.</w:t>
      </w:r>
      <w:r w:rsidRPr="006B2E8B">
        <w:tab/>
      </w:r>
      <w:r w:rsidR="006D15F7" w:rsidRPr="006B2E8B">
        <w:t>All requested PPS rate increases due to scope of services changes are subject to reasonable costs criteria identified at 42 CFR 413.</w:t>
      </w:r>
    </w:p>
    <w:p w14:paraId="09BB0145" w14:textId="77777777" w:rsidR="006D15F7" w:rsidRPr="006B2E8B" w:rsidRDefault="003605DB" w:rsidP="003605DB">
      <w:pPr>
        <w:pStyle w:val="CLETTERED"/>
      </w:pPr>
      <w:r w:rsidRPr="006B2E8B">
        <w:t>D.</w:t>
      </w:r>
      <w:r w:rsidRPr="006B2E8B">
        <w:tab/>
      </w:r>
      <w:r w:rsidR="006D15F7" w:rsidRPr="006B2E8B">
        <w:t xml:space="preserve">The provider must submit written requests for both cost increases and cost decreases due to scope of services changes.  The request must be submitted (postmarked) within 5 months after the end of the provider's fiscal period and the request must identify the beginning date that the change occurred and include detailed descriptions, documentation and calculations of the changes and </w:t>
      </w:r>
      <w:proofErr w:type="gramStart"/>
      <w:r w:rsidR="006D15F7" w:rsidRPr="006B2E8B">
        <w:t>costs</w:t>
      </w:r>
      <w:proofErr w:type="gramEnd"/>
      <w:r w:rsidR="006D15F7" w:rsidRPr="006B2E8B">
        <w:t xml:space="preserve"> differences.</w:t>
      </w:r>
    </w:p>
    <w:p w14:paraId="662C5E53" w14:textId="77777777" w:rsidR="006D15F7" w:rsidRPr="006B2E8B" w:rsidRDefault="003605DB" w:rsidP="003605DB">
      <w:pPr>
        <w:pStyle w:val="cnumbered"/>
      </w:pPr>
      <w:r w:rsidRPr="006B2E8B">
        <w:t>1.</w:t>
      </w:r>
      <w:r w:rsidRPr="006B2E8B">
        <w:tab/>
      </w:r>
      <w:r w:rsidR="006D15F7" w:rsidRPr="006B2E8B">
        <w:t>To qualify for a PPS rate change, the scope of services changes must equal at least a 5% total difference in the allowable per encounter cost as determined for the fiscal period and the changes must have existed during the last full 6 months of the provider's fiscal period.</w:t>
      </w:r>
    </w:p>
    <w:p w14:paraId="4F2B8113" w14:textId="77777777" w:rsidR="006D15F7" w:rsidRPr="006B2E8B" w:rsidRDefault="003605DB" w:rsidP="003605DB">
      <w:pPr>
        <w:pStyle w:val="cnumbered"/>
      </w:pPr>
      <w:r w:rsidRPr="006B2E8B">
        <w:t>2.</w:t>
      </w:r>
      <w:r w:rsidRPr="006B2E8B">
        <w:tab/>
      </w:r>
      <w:r w:rsidR="006D15F7" w:rsidRPr="006B2E8B">
        <w:t xml:space="preserve">Arkansas Medicaid will review the submitted documentation and will notify the provider within 90 days whether a PPS rate change will be implemented.  If </w:t>
      </w:r>
      <w:r w:rsidR="006D15F7" w:rsidRPr="006B2E8B">
        <w:lastRenderedPageBreak/>
        <w:t xml:space="preserve">implemented, the PPS rate change will reflect the cost difference of the scope of services change and will be effective on the </w:t>
      </w:r>
      <w:proofErr w:type="gramStart"/>
      <w:r w:rsidR="006D15F7" w:rsidRPr="006B2E8B">
        <w:t>later</w:t>
      </w:r>
      <w:proofErr w:type="gramEnd"/>
      <w:r w:rsidR="006D15F7" w:rsidRPr="006B2E8B">
        <w:t xml:space="preserve"> of:</w:t>
      </w:r>
    </w:p>
    <w:p w14:paraId="53039775" w14:textId="77777777" w:rsidR="006D15F7" w:rsidRPr="006B2E8B" w:rsidRDefault="003605DB" w:rsidP="003605DB">
      <w:pPr>
        <w:pStyle w:val="cletteredindent"/>
      </w:pPr>
      <w:r w:rsidRPr="006B2E8B">
        <w:t>a.</w:t>
      </w:r>
      <w:r w:rsidRPr="006B2E8B">
        <w:tab/>
      </w:r>
      <w:r w:rsidR="006D15F7" w:rsidRPr="006B2E8B">
        <w:t>The first date that the scope of services changed or</w:t>
      </w:r>
    </w:p>
    <w:p w14:paraId="4BD65060" w14:textId="77777777" w:rsidR="006D15F7" w:rsidRPr="006B2E8B" w:rsidRDefault="003605DB" w:rsidP="003605DB">
      <w:pPr>
        <w:pStyle w:val="cletteredindent"/>
      </w:pPr>
      <w:r w:rsidRPr="006B2E8B">
        <w:t>b.</w:t>
      </w:r>
      <w:r w:rsidRPr="006B2E8B">
        <w:tab/>
      </w:r>
      <w:r w:rsidR="006D15F7" w:rsidRPr="006B2E8B">
        <w:t>The beginning date of the fiscal period.</w:t>
      </w:r>
    </w:p>
    <w:p w14:paraId="77D649CA" w14:textId="77777777" w:rsidR="006D15F7" w:rsidRPr="006B2E8B" w:rsidRDefault="003605DB" w:rsidP="003605DB">
      <w:pPr>
        <w:pStyle w:val="cnumbered"/>
      </w:pPr>
      <w:r w:rsidRPr="006B2E8B">
        <w:t>3.</w:t>
      </w:r>
      <w:r w:rsidRPr="006B2E8B">
        <w:tab/>
      </w:r>
      <w:r w:rsidR="006D15F7" w:rsidRPr="006B2E8B">
        <w:t>PPS rate changes will also be made when scope of services changes are identified through an audit or review process.  In such a case, the effective date of the PPS rate change will be the later of:</w:t>
      </w:r>
    </w:p>
    <w:p w14:paraId="72D9BF31" w14:textId="77777777" w:rsidR="006D15F7" w:rsidRPr="006B2E8B" w:rsidRDefault="003605DB" w:rsidP="003605DB">
      <w:pPr>
        <w:pStyle w:val="cletteredindent"/>
      </w:pPr>
      <w:r w:rsidRPr="006B2E8B">
        <w:t>a.</w:t>
      </w:r>
      <w:r w:rsidRPr="006B2E8B">
        <w:tab/>
      </w:r>
      <w:r w:rsidR="006D15F7" w:rsidRPr="006B2E8B">
        <w:t>The first date that the scope of services changed or</w:t>
      </w:r>
    </w:p>
    <w:p w14:paraId="2688C1E6" w14:textId="77777777" w:rsidR="006D15F7" w:rsidRPr="006B2E8B" w:rsidRDefault="003605DB" w:rsidP="003605DB">
      <w:pPr>
        <w:pStyle w:val="cletteredindent"/>
      </w:pPr>
      <w:r w:rsidRPr="006B2E8B">
        <w:t>b.</w:t>
      </w:r>
      <w:r w:rsidRPr="006B2E8B">
        <w:tab/>
      </w:r>
      <w:r w:rsidR="006D15F7" w:rsidRPr="006B2E8B">
        <w:t>The beginning date of the cost report period for which the changes should have been reported.</w:t>
      </w:r>
    </w:p>
    <w:p w14:paraId="67835B36" w14:textId="77777777" w:rsidR="006D15F7" w:rsidRPr="006B2E8B" w:rsidRDefault="003605DB" w:rsidP="003605DB">
      <w:pPr>
        <w:pStyle w:val="CLETTERED"/>
      </w:pPr>
      <w:r w:rsidRPr="006B2E8B">
        <w:t>E.</w:t>
      </w:r>
      <w:r w:rsidRPr="006B2E8B">
        <w:tab/>
      </w:r>
      <w:r w:rsidR="006D15F7" w:rsidRPr="006B2E8B">
        <w:t>Examples:</w:t>
      </w:r>
    </w:p>
    <w:p w14:paraId="354F0B79" w14:textId="77777777" w:rsidR="006D15F7" w:rsidRPr="006B2E8B" w:rsidRDefault="00663534" w:rsidP="00DD18E1">
      <w:pPr>
        <w:pStyle w:val="cnumbered"/>
      </w:pPr>
      <w:r w:rsidRPr="006B2E8B">
        <w:t>1.</w:t>
      </w:r>
      <w:r w:rsidRPr="006B2E8B">
        <w:tab/>
      </w:r>
      <w:r w:rsidR="006D15F7" w:rsidRPr="006B2E8B">
        <w:t xml:space="preserve">FQHC Provider XYZ has a fiscal reporting period of January 1 through December 31.  On </w:t>
      </w:r>
      <w:smartTag w:uri="urn:schemas-microsoft-com:office:smarttags" w:element="date">
        <w:smartTagPr>
          <w:attr w:name="Year" w:val="2002"/>
          <w:attr w:name="Day" w:val="1"/>
          <w:attr w:name="Month" w:val="9"/>
        </w:smartTagPr>
        <w:r w:rsidR="006D15F7" w:rsidRPr="006B2E8B">
          <w:t>September 1, 2002</w:t>
        </w:r>
      </w:smartTag>
      <w:r w:rsidR="006D15F7" w:rsidRPr="006B2E8B">
        <w:t xml:space="preserve">, Provider XYZ purchases new lab equipment to replace old obsolete equipment.  The following calculations represent the changes in allowable per encounter cost for reporting periods ending </w:t>
      </w:r>
      <w:smartTag w:uri="urn:schemas-microsoft-com:office:smarttags" w:element="date">
        <w:smartTagPr>
          <w:attr w:name="Year" w:val="2002"/>
          <w:attr w:name="Day" w:val="31"/>
          <w:attr w:name="Month" w:val="12"/>
        </w:smartTagPr>
        <w:r w:rsidR="006D15F7" w:rsidRPr="006B2E8B">
          <w:t xml:space="preserve">December 31, </w:t>
        </w:r>
        <w:proofErr w:type="gramStart"/>
        <w:r w:rsidR="006D15F7" w:rsidRPr="006B2E8B">
          <w:t>2002</w:t>
        </w:r>
      </w:smartTag>
      <w:proofErr w:type="gramEnd"/>
      <w:r w:rsidR="006D15F7" w:rsidRPr="006B2E8B">
        <w:t xml:space="preserve"> and </w:t>
      </w:r>
      <w:smartTag w:uri="urn:schemas-microsoft-com:office:smarttags" w:element="date">
        <w:smartTagPr>
          <w:attr w:name="Year" w:val="2003"/>
          <w:attr w:name="Day" w:val="31"/>
          <w:attr w:name="Month" w:val="12"/>
        </w:smartTagPr>
        <w:r w:rsidR="006D15F7" w:rsidRPr="006B2E8B">
          <w:t>December 31, 2003</w:t>
        </w:r>
      </w:smartTag>
      <w:r w:rsidR="006D15F7" w:rsidRPr="006B2E8B">
        <w:t>.</w:t>
      </w:r>
    </w:p>
    <w:p w14:paraId="3477E72A" w14:textId="77777777" w:rsidR="006D15F7" w:rsidRPr="006B2E8B" w:rsidRDefault="00663534" w:rsidP="00663534">
      <w:pPr>
        <w:pStyle w:val="cletteredindent"/>
      </w:pPr>
      <w:r w:rsidRPr="006B2E8B">
        <w:t>a.</w:t>
      </w:r>
      <w:r w:rsidRPr="006B2E8B">
        <w:tab/>
      </w:r>
      <w:r w:rsidR="006D15F7" w:rsidRPr="006B2E8B">
        <w:t>Reporting Period 2002</w:t>
      </w:r>
    </w:p>
    <w:p w14:paraId="76EC17A9" w14:textId="77777777" w:rsidR="006D15F7" w:rsidRPr="006B2E8B" w:rsidRDefault="00663534" w:rsidP="00663534">
      <w:pPr>
        <w:pStyle w:val="cletteredindent"/>
      </w:pPr>
      <w:r w:rsidRPr="006B2E8B">
        <w:tab/>
      </w:r>
      <w:r w:rsidR="006D15F7" w:rsidRPr="006B2E8B">
        <w:t xml:space="preserve">For the reporting period ending </w:t>
      </w:r>
      <w:smartTag w:uri="urn:schemas-microsoft-com:office:smarttags" w:element="date">
        <w:smartTagPr>
          <w:attr w:name="Year" w:val="2002"/>
          <w:attr w:name="Day" w:val="31"/>
          <w:attr w:name="Month" w:val="12"/>
        </w:smartTagPr>
        <w:r w:rsidR="006D15F7" w:rsidRPr="006B2E8B">
          <w:t>December 31, 2002</w:t>
        </w:r>
      </w:smartTag>
      <w:r w:rsidR="006D15F7" w:rsidRPr="006B2E8B">
        <w:t>, Provider XYZ does not qualify for a scope of services PPS rate change because the change did not exist during the last six months of the fiscal period.</w:t>
      </w:r>
    </w:p>
    <w:p w14:paraId="5A54B3B1" w14:textId="77777777" w:rsidR="006D15F7" w:rsidRPr="006B2E8B" w:rsidRDefault="00663534" w:rsidP="00663534">
      <w:pPr>
        <w:pStyle w:val="cletteredindent"/>
      </w:pPr>
      <w:r w:rsidRPr="006B2E8B">
        <w:t>b.</w:t>
      </w:r>
      <w:r w:rsidRPr="006B2E8B">
        <w:tab/>
      </w:r>
      <w:r w:rsidR="006D15F7" w:rsidRPr="006B2E8B">
        <w:t>Reporting Period 2003</w:t>
      </w:r>
    </w:p>
    <w:p w14:paraId="7E7E6C88" w14:textId="77777777" w:rsidR="006D15F7" w:rsidRPr="006B2E8B" w:rsidRDefault="006D15F7">
      <w:pPr>
        <w:pStyle w:val="ctablespace"/>
        <w:numPr>
          <w:ilvl w:val="12"/>
          <w:numId w:val="0"/>
        </w:numPr>
        <w:ind w:left="360"/>
      </w:pPr>
    </w:p>
    <w:tbl>
      <w:tblPr>
        <w:tblW w:w="0" w:type="auto"/>
        <w:tblInd w:w="2008" w:type="dxa"/>
        <w:tblLayout w:type="fixed"/>
        <w:tblLook w:val="0000" w:firstRow="0" w:lastRow="0" w:firstColumn="0" w:lastColumn="0" w:noHBand="0" w:noVBand="0"/>
      </w:tblPr>
      <w:tblGrid>
        <w:gridCol w:w="1152"/>
        <w:gridCol w:w="5760"/>
      </w:tblGrid>
      <w:tr w:rsidR="006D15F7" w:rsidRPr="006B2E8B" w14:paraId="2F61ADA5" w14:textId="77777777">
        <w:tc>
          <w:tcPr>
            <w:tcW w:w="1152" w:type="dxa"/>
            <w:tcBorders>
              <w:top w:val="nil"/>
              <w:left w:val="nil"/>
              <w:bottom w:val="nil"/>
              <w:right w:val="nil"/>
            </w:tcBorders>
          </w:tcPr>
          <w:p w14:paraId="53169870" w14:textId="77777777" w:rsidR="006D15F7" w:rsidRPr="006B2E8B" w:rsidRDefault="006D15F7">
            <w:pPr>
              <w:pStyle w:val="cTableText"/>
              <w:numPr>
                <w:ilvl w:val="12"/>
                <w:numId w:val="0"/>
              </w:numPr>
            </w:pPr>
            <w:r w:rsidRPr="006B2E8B">
              <w:t>$85.78</w:t>
            </w:r>
          </w:p>
        </w:tc>
        <w:tc>
          <w:tcPr>
            <w:tcW w:w="5760" w:type="dxa"/>
            <w:tcBorders>
              <w:top w:val="nil"/>
              <w:left w:val="nil"/>
              <w:bottom w:val="nil"/>
              <w:right w:val="nil"/>
            </w:tcBorders>
          </w:tcPr>
          <w:p w14:paraId="24E2E46B"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2AC4149F" w14:textId="77777777">
        <w:tc>
          <w:tcPr>
            <w:tcW w:w="1152" w:type="dxa"/>
            <w:tcBorders>
              <w:top w:val="nil"/>
              <w:left w:val="nil"/>
              <w:bottom w:val="nil"/>
              <w:right w:val="nil"/>
            </w:tcBorders>
          </w:tcPr>
          <w:p w14:paraId="514F6570" w14:textId="77777777" w:rsidR="006D15F7" w:rsidRPr="006B2E8B" w:rsidRDefault="006D15F7">
            <w:pPr>
              <w:pStyle w:val="cTableText"/>
              <w:numPr>
                <w:ilvl w:val="12"/>
                <w:numId w:val="0"/>
              </w:numPr>
            </w:pPr>
            <w:r w:rsidRPr="006B2E8B">
              <w:rPr>
                <w:u w:val="single"/>
              </w:rPr>
              <w:t>(81.45)</w:t>
            </w:r>
          </w:p>
        </w:tc>
        <w:tc>
          <w:tcPr>
            <w:tcW w:w="5760" w:type="dxa"/>
            <w:tcBorders>
              <w:top w:val="nil"/>
              <w:left w:val="nil"/>
              <w:bottom w:val="nil"/>
              <w:right w:val="nil"/>
            </w:tcBorders>
          </w:tcPr>
          <w:p w14:paraId="6DF35300" w14:textId="77777777" w:rsidR="006D15F7" w:rsidRPr="006B2E8B" w:rsidRDefault="006D15F7">
            <w:pPr>
              <w:pStyle w:val="cTableText"/>
              <w:numPr>
                <w:ilvl w:val="12"/>
                <w:numId w:val="0"/>
              </w:numPr>
            </w:pPr>
            <w:r w:rsidRPr="006B2E8B">
              <w:t xml:space="preserve">Less: Per Encounter Cost </w:t>
            </w:r>
            <w:proofErr w:type="gramStart"/>
            <w:r w:rsidRPr="006B2E8B">
              <w:t>With</w:t>
            </w:r>
            <w:proofErr w:type="gramEnd"/>
            <w:r w:rsidRPr="006B2E8B">
              <w:t xml:space="preserve"> Old Equipment</w:t>
            </w:r>
            <w:r w:rsidRPr="006B2E8B">
              <w:br/>
              <w:t>(Calculate Per Encounter Cost Using the Cost of the Old Equipment)</w:t>
            </w:r>
          </w:p>
        </w:tc>
      </w:tr>
      <w:tr w:rsidR="006D15F7" w:rsidRPr="006B2E8B" w14:paraId="66D75738" w14:textId="77777777">
        <w:tc>
          <w:tcPr>
            <w:tcW w:w="1152" w:type="dxa"/>
            <w:tcBorders>
              <w:top w:val="nil"/>
              <w:left w:val="nil"/>
              <w:bottom w:val="nil"/>
              <w:right w:val="nil"/>
            </w:tcBorders>
          </w:tcPr>
          <w:p w14:paraId="3F57E7B6" w14:textId="77777777" w:rsidR="006D15F7" w:rsidRPr="006B2E8B" w:rsidRDefault="006D15F7">
            <w:pPr>
              <w:pStyle w:val="cTableText"/>
              <w:numPr>
                <w:ilvl w:val="12"/>
                <w:numId w:val="0"/>
              </w:numPr>
            </w:pPr>
            <w:r w:rsidRPr="006B2E8B">
              <w:t>$4.33</w:t>
            </w:r>
          </w:p>
        </w:tc>
        <w:tc>
          <w:tcPr>
            <w:tcW w:w="5760" w:type="dxa"/>
            <w:tcBorders>
              <w:top w:val="nil"/>
              <w:left w:val="nil"/>
              <w:bottom w:val="nil"/>
              <w:right w:val="nil"/>
            </w:tcBorders>
          </w:tcPr>
          <w:p w14:paraId="2A6103B1" w14:textId="77777777" w:rsidR="006D15F7" w:rsidRPr="006B2E8B" w:rsidRDefault="006D15F7">
            <w:pPr>
              <w:pStyle w:val="cTableText"/>
              <w:numPr>
                <w:ilvl w:val="12"/>
                <w:numId w:val="0"/>
              </w:numPr>
            </w:pPr>
            <w:r w:rsidRPr="006B2E8B">
              <w:t>Difference or 5.32% Increase</w:t>
            </w:r>
            <w:r w:rsidRPr="006B2E8B">
              <w:br/>
              <w:t>(Provider Qualifies for PPS Rate Increase for 2003)</w:t>
            </w:r>
          </w:p>
        </w:tc>
      </w:tr>
    </w:tbl>
    <w:p w14:paraId="6E39E8D7" w14:textId="77777777" w:rsidR="006D15F7" w:rsidRPr="006B2E8B" w:rsidRDefault="006D15F7">
      <w:pPr>
        <w:pStyle w:val="ctablespace"/>
        <w:numPr>
          <w:ilvl w:val="12"/>
          <w:numId w:val="0"/>
        </w:numPr>
        <w:ind w:left="360"/>
      </w:pPr>
    </w:p>
    <w:p w14:paraId="3EA676B8" w14:textId="77777777" w:rsidR="006D15F7" w:rsidRPr="006B2E8B" w:rsidRDefault="00663534" w:rsidP="00663534">
      <w:pPr>
        <w:pStyle w:val="cletteredindent"/>
      </w:pPr>
      <w:r w:rsidRPr="006B2E8B">
        <w:tab/>
      </w:r>
      <w:r w:rsidR="006D15F7" w:rsidRPr="006B2E8B">
        <w:t xml:space="preserve">For </w:t>
      </w:r>
      <w:proofErr w:type="gramStart"/>
      <w:r w:rsidR="006D15F7" w:rsidRPr="006B2E8B">
        <w:t>reporting</w:t>
      </w:r>
      <w:proofErr w:type="gramEnd"/>
      <w:r w:rsidR="006D15F7" w:rsidRPr="006B2E8B">
        <w:t xml:space="preserve"> period ending </w:t>
      </w:r>
      <w:smartTag w:uri="urn:schemas-microsoft-com:office:smarttags" w:element="date">
        <w:smartTagPr>
          <w:attr w:name="Year" w:val="2003"/>
          <w:attr w:name="Day" w:val="31"/>
          <w:attr w:name="Month" w:val="12"/>
        </w:smartTagPr>
        <w:r w:rsidR="006D15F7" w:rsidRPr="006B2E8B">
          <w:t>December 31, 2003</w:t>
        </w:r>
      </w:smartTag>
      <w:r w:rsidR="006D15F7" w:rsidRPr="006B2E8B">
        <w:t xml:space="preserve">, Provider XYZ would qualify for a scope of services PPS rate change.  Provider XYZ should request the PPS rate change with the submission of their </w:t>
      </w:r>
      <w:smartTag w:uri="urn:schemas-microsoft-com:office:smarttags" w:element="date">
        <w:smartTagPr>
          <w:attr w:name="Year" w:val="2003"/>
          <w:attr w:name="Day" w:val="31"/>
          <w:attr w:name="Month" w:val="12"/>
        </w:smartTagPr>
        <w:r w:rsidR="006D15F7" w:rsidRPr="006B2E8B">
          <w:t xml:space="preserve">December 31, </w:t>
        </w:r>
        <w:proofErr w:type="gramStart"/>
        <w:r w:rsidR="006D15F7" w:rsidRPr="006B2E8B">
          <w:t>2003</w:t>
        </w:r>
      </w:smartTag>
      <w:proofErr w:type="gramEnd"/>
      <w:r w:rsidR="006D15F7" w:rsidRPr="006B2E8B">
        <w:t xml:space="preserve"> cost report.  If approved, the $4.33 rate change would be retroactively applied to </w:t>
      </w:r>
      <w:smartTag w:uri="urn:schemas-microsoft-com:office:smarttags" w:element="date">
        <w:smartTagPr>
          <w:attr w:name="Year" w:val="2003"/>
          <w:attr w:name="Day" w:val="1"/>
          <w:attr w:name="Month" w:val="1"/>
        </w:smartTagPr>
        <w:r w:rsidR="006D15F7" w:rsidRPr="006B2E8B">
          <w:t>January 1, 2003</w:t>
        </w:r>
      </w:smartTag>
      <w:r w:rsidR="006D15F7" w:rsidRPr="006B2E8B">
        <w:t>.</w:t>
      </w:r>
    </w:p>
    <w:p w14:paraId="13253901" w14:textId="77777777" w:rsidR="006D15F7" w:rsidRPr="006B2E8B" w:rsidRDefault="00663534" w:rsidP="00663534">
      <w:pPr>
        <w:pStyle w:val="cnumbered"/>
      </w:pPr>
      <w:r w:rsidRPr="006B2E8B">
        <w:t>2.</w:t>
      </w:r>
      <w:r w:rsidRPr="006B2E8B">
        <w:tab/>
      </w:r>
      <w:r w:rsidR="006D15F7" w:rsidRPr="006B2E8B">
        <w:t>PPS rate changes due to scope of services changes will also be applied cumulatively.  In other words, less than 5% changes for a previous reporting period can be brought forward to future reporting periods.  For example:</w:t>
      </w:r>
    </w:p>
    <w:p w14:paraId="16088BC5" w14:textId="77777777" w:rsidR="006D15F7" w:rsidRPr="006B2E8B" w:rsidRDefault="00663534" w:rsidP="00663534">
      <w:pPr>
        <w:pStyle w:val="cnumbered"/>
      </w:pPr>
      <w:r w:rsidRPr="006B2E8B">
        <w:tab/>
      </w:r>
      <w:r w:rsidR="006D15F7" w:rsidRPr="006B2E8B">
        <w:t xml:space="preserve">FQHC Provider XYZ with a reporting period ending December 31, </w:t>
      </w:r>
      <w:proofErr w:type="gramStart"/>
      <w:r w:rsidR="006D15F7" w:rsidRPr="006B2E8B">
        <w:t>2002</w:t>
      </w:r>
      <w:proofErr w:type="gramEnd"/>
      <w:r w:rsidR="006D15F7" w:rsidRPr="006B2E8B">
        <w:t xml:space="preserve"> purchases new lab equipment to replace old obsolete equipment as of January 1, </w:t>
      </w:r>
      <w:proofErr w:type="gramStart"/>
      <w:r w:rsidR="006D15F7" w:rsidRPr="006B2E8B">
        <w:t>2002</w:t>
      </w:r>
      <w:proofErr w:type="gramEnd"/>
      <w:r w:rsidR="006D15F7" w:rsidRPr="006B2E8B">
        <w:t xml:space="preserve"> but the cost difference is less than 5%.</w:t>
      </w:r>
    </w:p>
    <w:p w14:paraId="60E6C514" w14:textId="77777777" w:rsidR="006D15F7" w:rsidRPr="006B2E8B" w:rsidRDefault="00663534" w:rsidP="00663534">
      <w:pPr>
        <w:pStyle w:val="cletteredindent"/>
      </w:pPr>
      <w:r w:rsidRPr="006B2E8B">
        <w:t>a.</w:t>
      </w:r>
      <w:r w:rsidRPr="006B2E8B">
        <w:tab/>
      </w:r>
      <w:r w:rsidR="006D15F7" w:rsidRPr="006B2E8B">
        <w:t>Reporting Period 2002</w:t>
      </w:r>
    </w:p>
    <w:p w14:paraId="1023792B" w14:textId="77777777" w:rsidR="006D15F7" w:rsidRPr="006B2E8B" w:rsidRDefault="006D15F7">
      <w:pPr>
        <w:pStyle w:val="ctablespace"/>
        <w:numPr>
          <w:ilvl w:val="12"/>
          <w:numId w:val="0"/>
        </w:numPr>
        <w:ind w:left="360"/>
      </w:pPr>
    </w:p>
    <w:tbl>
      <w:tblPr>
        <w:tblW w:w="0" w:type="auto"/>
        <w:tblInd w:w="2008" w:type="dxa"/>
        <w:tblLayout w:type="fixed"/>
        <w:tblLook w:val="0000" w:firstRow="0" w:lastRow="0" w:firstColumn="0" w:lastColumn="0" w:noHBand="0" w:noVBand="0"/>
      </w:tblPr>
      <w:tblGrid>
        <w:gridCol w:w="1152"/>
        <w:gridCol w:w="5760"/>
      </w:tblGrid>
      <w:tr w:rsidR="006D15F7" w:rsidRPr="006B2E8B" w14:paraId="20EF5EE3" w14:textId="77777777">
        <w:tc>
          <w:tcPr>
            <w:tcW w:w="1152" w:type="dxa"/>
            <w:tcBorders>
              <w:top w:val="nil"/>
              <w:left w:val="nil"/>
              <w:bottom w:val="nil"/>
              <w:right w:val="nil"/>
            </w:tcBorders>
          </w:tcPr>
          <w:p w14:paraId="3BEC257D" w14:textId="77777777" w:rsidR="006D15F7" w:rsidRPr="006B2E8B" w:rsidRDefault="006D15F7">
            <w:pPr>
              <w:pStyle w:val="cTableText"/>
              <w:numPr>
                <w:ilvl w:val="12"/>
                <w:numId w:val="0"/>
              </w:numPr>
            </w:pPr>
            <w:r w:rsidRPr="006B2E8B">
              <w:t>$85.78</w:t>
            </w:r>
          </w:p>
        </w:tc>
        <w:tc>
          <w:tcPr>
            <w:tcW w:w="5760" w:type="dxa"/>
            <w:tcBorders>
              <w:top w:val="nil"/>
              <w:left w:val="nil"/>
              <w:bottom w:val="nil"/>
              <w:right w:val="nil"/>
            </w:tcBorders>
          </w:tcPr>
          <w:p w14:paraId="6D66EF18"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3B169DD2" w14:textId="77777777">
        <w:tc>
          <w:tcPr>
            <w:tcW w:w="1152" w:type="dxa"/>
            <w:tcBorders>
              <w:top w:val="nil"/>
              <w:left w:val="nil"/>
              <w:bottom w:val="nil"/>
              <w:right w:val="nil"/>
            </w:tcBorders>
          </w:tcPr>
          <w:p w14:paraId="1A17E4FD" w14:textId="77777777" w:rsidR="006D15F7" w:rsidRPr="006B2E8B" w:rsidRDefault="006D15F7">
            <w:pPr>
              <w:pStyle w:val="cTableText"/>
              <w:numPr>
                <w:ilvl w:val="12"/>
                <w:numId w:val="0"/>
              </w:numPr>
            </w:pPr>
            <w:r w:rsidRPr="006B2E8B">
              <w:rPr>
                <w:u w:val="single"/>
              </w:rPr>
              <w:t>(83.90)</w:t>
            </w:r>
          </w:p>
        </w:tc>
        <w:tc>
          <w:tcPr>
            <w:tcW w:w="5760" w:type="dxa"/>
            <w:tcBorders>
              <w:top w:val="nil"/>
              <w:left w:val="nil"/>
              <w:bottom w:val="nil"/>
              <w:right w:val="nil"/>
            </w:tcBorders>
          </w:tcPr>
          <w:p w14:paraId="21B86C11" w14:textId="77777777" w:rsidR="006D15F7" w:rsidRPr="006B2E8B" w:rsidRDefault="006D15F7">
            <w:pPr>
              <w:pStyle w:val="cTableText"/>
              <w:numPr>
                <w:ilvl w:val="12"/>
                <w:numId w:val="0"/>
              </w:numPr>
            </w:pPr>
            <w:r w:rsidRPr="006B2E8B">
              <w:t xml:space="preserve">Less: Per Encounter Cost </w:t>
            </w:r>
            <w:proofErr w:type="gramStart"/>
            <w:r w:rsidRPr="006B2E8B">
              <w:t>With</w:t>
            </w:r>
            <w:proofErr w:type="gramEnd"/>
            <w:r w:rsidRPr="006B2E8B">
              <w:t xml:space="preserve"> Old Equipment</w:t>
            </w:r>
            <w:r w:rsidRPr="006B2E8B">
              <w:br/>
              <w:t>(Calculate Per Encounter Cost Using the Cost of the Old Equipment)</w:t>
            </w:r>
          </w:p>
        </w:tc>
      </w:tr>
      <w:tr w:rsidR="006D15F7" w:rsidRPr="006B2E8B" w14:paraId="2CCBFA66" w14:textId="77777777">
        <w:tc>
          <w:tcPr>
            <w:tcW w:w="1152" w:type="dxa"/>
            <w:tcBorders>
              <w:top w:val="nil"/>
              <w:left w:val="nil"/>
              <w:bottom w:val="nil"/>
              <w:right w:val="nil"/>
            </w:tcBorders>
          </w:tcPr>
          <w:p w14:paraId="6DB14C5D" w14:textId="77777777" w:rsidR="006D15F7" w:rsidRPr="006B2E8B" w:rsidRDefault="006D15F7">
            <w:pPr>
              <w:pStyle w:val="cTableText"/>
              <w:numPr>
                <w:ilvl w:val="12"/>
                <w:numId w:val="0"/>
              </w:numPr>
            </w:pPr>
            <w:r w:rsidRPr="006B2E8B">
              <w:t>$1.88</w:t>
            </w:r>
          </w:p>
        </w:tc>
        <w:tc>
          <w:tcPr>
            <w:tcW w:w="5760" w:type="dxa"/>
            <w:tcBorders>
              <w:top w:val="nil"/>
              <w:left w:val="nil"/>
              <w:bottom w:val="nil"/>
              <w:right w:val="nil"/>
            </w:tcBorders>
          </w:tcPr>
          <w:p w14:paraId="45CB8C23" w14:textId="77777777" w:rsidR="006D15F7" w:rsidRPr="006B2E8B" w:rsidRDefault="006D15F7">
            <w:pPr>
              <w:pStyle w:val="cTableText"/>
              <w:numPr>
                <w:ilvl w:val="12"/>
                <w:numId w:val="0"/>
              </w:numPr>
            </w:pPr>
            <w:r w:rsidRPr="006B2E8B">
              <w:t>Difference or 2.24% Increase</w:t>
            </w:r>
            <w:r w:rsidRPr="006B2E8B">
              <w:br/>
            </w:r>
            <w:r w:rsidRPr="006B2E8B">
              <w:lastRenderedPageBreak/>
              <w:t>(Provider does not qualify for PPS rate increase for 2002)</w:t>
            </w:r>
          </w:p>
        </w:tc>
      </w:tr>
    </w:tbl>
    <w:p w14:paraId="2851F32C" w14:textId="77777777" w:rsidR="006D15F7" w:rsidRPr="006B2E8B" w:rsidRDefault="006D15F7">
      <w:pPr>
        <w:pStyle w:val="ctablespace"/>
        <w:numPr>
          <w:ilvl w:val="12"/>
          <w:numId w:val="0"/>
        </w:numPr>
        <w:ind w:left="360"/>
      </w:pPr>
    </w:p>
    <w:p w14:paraId="6AEAA9D6" w14:textId="77777777" w:rsidR="006D15F7" w:rsidRPr="006B2E8B" w:rsidRDefault="00663534" w:rsidP="00663534">
      <w:pPr>
        <w:pStyle w:val="cletteredindent"/>
      </w:pPr>
      <w:r w:rsidRPr="006B2E8B">
        <w:tab/>
      </w:r>
      <w:r w:rsidR="006D15F7" w:rsidRPr="006B2E8B">
        <w:t xml:space="preserve">FQHC Provider XYZ then purchases more new lab equipment to replace </w:t>
      </w:r>
      <w:proofErr w:type="gramStart"/>
      <w:r w:rsidR="006D15F7" w:rsidRPr="006B2E8B">
        <w:t>old obsolete</w:t>
      </w:r>
      <w:proofErr w:type="gramEnd"/>
      <w:r w:rsidR="006D15F7" w:rsidRPr="006B2E8B">
        <w:t xml:space="preserve"> equipment as of </w:t>
      </w:r>
      <w:smartTag w:uri="urn:schemas-microsoft-com:office:smarttags" w:element="date">
        <w:smartTagPr>
          <w:attr w:name="Year" w:val="2003"/>
          <w:attr w:name="Day" w:val="1"/>
          <w:attr w:name="Month" w:val="1"/>
        </w:smartTagPr>
        <w:r w:rsidR="006D15F7" w:rsidRPr="006B2E8B">
          <w:t>January 1, 2003</w:t>
        </w:r>
      </w:smartTag>
      <w:r w:rsidR="006D15F7" w:rsidRPr="006B2E8B">
        <w:t xml:space="preserve">.  If the new equipment purchased </w:t>
      </w:r>
      <w:smartTag w:uri="urn:schemas-microsoft-com:office:smarttags" w:element="date">
        <w:smartTagPr>
          <w:attr w:name="Year" w:val="2002"/>
          <w:attr w:name="Day" w:val="1"/>
          <w:attr w:name="Month" w:val="1"/>
        </w:smartTagPr>
        <w:r w:rsidR="006D15F7" w:rsidRPr="006B2E8B">
          <w:t xml:space="preserve">January 1, </w:t>
        </w:r>
        <w:proofErr w:type="gramStart"/>
        <w:r w:rsidR="006D15F7" w:rsidRPr="006B2E8B">
          <w:t>2002</w:t>
        </w:r>
      </w:smartTag>
      <w:proofErr w:type="gramEnd"/>
      <w:r w:rsidR="006D15F7" w:rsidRPr="006B2E8B">
        <w:t xml:space="preserve"> and </w:t>
      </w:r>
      <w:smartTag w:uri="urn:schemas-microsoft-com:office:smarttags" w:element="date">
        <w:smartTagPr>
          <w:attr w:name="Year" w:val="2003"/>
          <w:attr w:name="Day" w:val="1"/>
          <w:attr w:name="Month" w:val="1"/>
        </w:smartTagPr>
        <w:r w:rsidR="006D15F7" w:rsidRPr="006B2E8B">
          <w:t xml:space="preserve">January 1, </w:t>
        </w:r>
        <w:proofErr w:type="gramStart"/>
        <w:r w:rsidR="006D15F7" w:rsidRPr="006B2E8B">
          <w:t>2003</w:t>
        </w:r>
      </w:smartTag>
      <w:proofErr w:type="gramEnd"/>
      <w:r w:rsidR="006D15F7" w:rsidRPr="006B2E8B">
        <w:t xml:space="preserve"> combined equals to at least a 5% difference during the reporting period ending </w:t>
      </w:r>
      <w:smartTag w:uri="urn:schemas-microsoft-com:office:smarttags" w:element="date">
        <w:smartTagPr>
          <w:attr w:name="Year" w:val="2003"/>
          <w:attr w:name="Day" w:val="31"/>
          <w:attr w:name="Month" w:val="12"/>
        </w:smartTagPr>
        <w:r w:rsidR="006D15F7" w:rsidRPr="006B2E8B">
          <w:t>December 31, 2003</w:t>
        </w:r>
      </w:smartTag>
      <w:r w:rsidR="006D15F7" w:rsidRPr="006B2E8B">
        <w:t>, a PPS rate change can be requested for 2003.</w:t>
      </w:r>
    </w:p>
    <w:p w14:paraId="47826230" w14:textId="77777777" w:rsidR="006D15F7" w:rsidRPr="006B2E8B" w:rsidRDefault="00663534" w:rsidP="00663534">
      <w:pPr>
        <w:pStyle w:val="cletteredindent"/>
      </w:pPr>
      <w:r w:rsidRPr="006B2E8B">
        <w:t>b.</w:t>
      </w:r>
      <w:r w:rsidRPr="006B2E8B">
        <w:tab/>
      </w:r>
      <w:r w:rsidR="006D15F7" w:rsidRPr="006B2E8B">
        <w:t>Reporting Period 2003</w:t>
      </w:r>
    </w:p>
    <w:p w14:paraId="6FFDB78E" w14:textId="77777777" w:rsidR="006D15F7" w:rsidRPr="006B2E8B" w:rsidRDefault="006D15F7">
      <w:pPr>
        <w:pStyle w:val="ctablespace"/>
        <w:numPr>
          <w:ilvl w:val="12"/>
          <w:numId w:val="0"/>
        </w:numPr>
        <w:ind w:left="360"/>
      </w:pPr>
    </w:p>
    <w:tbl>
      <w:tblPr>
        <w:tblW w:w="0" w:type="auto"/>
        <w:tblInd w:w="2008" w:type="dxa"/>
        <w:tblLayout w:type="fixed"/>
        <w:tblLook w:val="0000" w:firstRow="0" w:lastRow="0" w:firstColumn="0" w:lastColumn="0" w:noHBand="0" w:noVBand="0"/>
      </w:tblPr>
      <w:tblGrid>
        <w:gridCol w:w="1146"/>
        <w:gridCol w:w="5760"/>
      </w:tblGrid>
      <w:tr w:rsidR="006D15F7" w:rsidRPr="006B2E8B" w14:paraId="61881F47" w14:textId="77777777">
        <w:tc>
          <w:tcPr>
            <w:tcW w:w="1146" w:type="dxa"/>
            <w:tcBorders>
              <w:top w:val="nil"/>
              <w:left w:val="nil"/>
              <w:bottom w:val="nil"/>
              <w:right w:val="nil"/>
            </w:tcBorders>
          </w:tcPr>
          <w:p w14:paraId="7377C6E8" w14:textId="77777777" w:rsidR="006D15F7" w:rsidRPr="006B2E8B" w:rsidRDefault="006D15F7">
            <w:pPr>
              <w:pStyle w:val="cTableText"/>
              <w:numPr>
                <w:ilvl w:val="12"/>
                <w:numId w:val="0"/>
              </w:numPr>
            </w:pPr>
            <w:r w:rsidRPr="006B2E8B">
              <w:t>$89.27</w:t>
            </w:r>
          </w:p>
        </w:tc>
        <w:tc>
          <w:tcPr>
            <w:tcW w:w="5760" w:type="dxa"/>
            <w:tcBorders>
              <w:top w:val="nil"/>
              <w:left w:val="nil"/>
              <w:bottom w:val="nil"/>
              <w:right w:val="nil"/>
            </w:tcBorders>
          </w:tcPr>
          <w:p w14:paraId="5516AA17" w14:textId="77777777" w:rsidR="006D15F7" w:rsidRPr="006B2E8B" w:rsidRDefault="006D15F7">
            <w:pPr>
              <w:pStyle w:val="cTableText"/>
              <w:numPr>
                <w:ilvl w:val="12"/>
                <w:numId w:val="0"/>
              </w:numPr>
            </w:pPr>
            <w:r w:rsidRPr="006B2E8B">
              <w:t xml:space="preserve">Per Encounter Cost </w:t>
            </w:r>
            <w:proofErr w:type="gramStart"/>
            <w:r w:rsidRPr="006B2E8B">
              <w:t>With</w:t>
            </w:r>
            <w:proofErr w:type="gramEnd"/>
            <w:r w:rsidRPr="006B2E8B">
              <w:t xml:space="preserve"> New Equipment</w:t>
            </w:r>
            <w:r w:rsidRPr="006B2E8B">
              <w:br/>
              <w:t>(Actual Per Encounter Cost for the Period)</w:t>
            </w:r>
          </w:p>
        </w:tc>
      </w:tr>
      <w:tr w:rsidR="006D15F7" w:rsidRPr="006B2E8B" w14:paraId="041A00D0" w14:textId="77777777">
        <w:tc>
          <w:tcPr>
            <w:tcW w:w="1146" w:type="dxa"/>
            <w:tcBorders>
              <w:top w:val="nil"/>
              <w:left w:val="nil"/>
              <w:bottom w:val="nil"/>
              <w:right w:val="nil"/>
            </w:tcBorders>
          </w:tcPr>
          <w:p w14:paraId="3E24C85A" w14:textId="77777777" w:rsidR="006D15F7" w:rsidRPr="006B2E8B" w:rsidRDefault="006D15F7">
            <w:pPr>
              <w:pStyle w:val="cTableText"/>
              <w:numPr>
                <w:ilvl w:val="12"/>
                <w:numId w:val="0"/>
              </w:numPr>
            </w:pPr>
            <w:r w:rsidRPr="006B2E8B">
              <w:rPr>
                <w:u w:val="single"/>
              </w:rPr>
              <w:t>(85.01)</w:t>
            </w:r>
          </w:p>
        </w:tc>
        <w:tc>
          <w:tcPr>
            <w:tcW w:w="5760" w:type="dxa"/>
            <w:tcBorders>
              <w:top w:val="nil"/>
              <w:left w:val="nil"/>
              <w:bottom w:val="nil"/>
              <w:right w:val="nil"/>
            </w:tcBorders>
          </w:tcPr>
          <w:p w14:paraId="2426EB34" w14:textId="77777777" w:rsidR="006D15F7" w:rsidRPr="006B2E8B" w:rsidRDefault="006D15F7">
            <w:pPr>
              <w:pStyle w:val="cTableText"/>
              <w:numPr>
                <w:ilvl w:val="12"/>
                <w:numId w:val="0"/>
              </w:numPr>
            </w:pPr>
            <w:r w:rsidRPr="006B2E8B">
              <w:t>Less: Per Encounter Cost Without New Equipment</w:t>
            </w:r>
            <w:r w:rsidRPr="006B2E8B">
              <w:br/>
              <w:t>(Calculate Per Encounter Cost Using the Cost of the Old Equipment)</w:t>
            </w:r>
          </w:p>
        </w:tc>
      </w:tr>
      <w:tr w:rsidR="006D15F7" w:rsidRPr="006B2E8B" w14:paraId="141A2E7F" w14:textId="77777777">
        <w:tc>
          <w:tcPr>
            <w:tcW w:w="1146" w:type="dxa"/>
            <w:tcBorders>
              <w:top w:val="nil"/>
              <w:left w:val="nil"/>
              <w:bottom w:val="nil"/>
              <w:right w:val="nil"/>
            </w:tcBorders>
          </w:tcPr>
          <w:p w14:paraId="749DD3A5" w14:textId="77777777" w:rsidR="006D15F7" w:rsidRPr="006B2E8B" w:rsidRDefault="006D15F7">
            <w:pPr>
              <w:pStyle w:val="cTableText"/>
              <w:numPr>
                <w:ilvl w:val="12"/>
                <w:numId w:val="0"/>
              </w:numPr>
            </w:pPr>
            <w:r w:rsidRPr="006B2E8B">
              <w:t>$4.26</w:t>
            </w:r>
          </w:p>
        </w:tc>
        <w:tc>
          <w:tcPr>
            <w:tcW w:w="5760" w:type="dxa"/>
            <w:tcBorders>
              <w:top w:val="nil"/>
              <w:left w:val="nil"/>
              <w:bottom w:val="nil"/>
              <w:right w:val="nil"/>
            </w:tcBorders>
          </w:tcPr>
          <w:p w14:paraId="65CD67F6" w14:textId="77777777" w:rsidR="006D15F7" w:rsidRPr="006B2E8B" w:rsidRDefault="006D15F7">
            <w:pPr>
              <w:pStyle w:val="cTableText"/>
              <w:numPr>
                <w:ilvl w:val="12"/>
                <w:numId w:val="0"/>
              </w:numPr>
            </w:pPr>
            <w:r w:rsidRPr="006B2E8B">
              <w:t>Difference or 5.01% Increase</w:t>
            </w:r>
            <w:r w:rsidRPr="006B2E8B">
              <w:br/>
              <w:t>(Provider qualifies for PPS rate increase for 2003)</w:t>
            </w:r>
          </w:p>
        </w:tc>
      </w:tr>
    </w:tbl>
    <w:p w14:paraId="4B7687B7" w14:textId="77777777" w:rsidR="006D15F7" w:rsidRPr="006B2E8B" w:rsidRDefault="006D15F7">
      <w:pPr>
        <w:pStyle w:val="ctablespace"/>
        <w:numPr>
          <w:ilvl w:val="12"/>
          <w:numId w:val="0"/>
        </w:numPr>
        <w:ind w:left="360"/>
      </w:pPr>
    </w:p>
    <w:p w14:paraId="1D415F8F" w14:textId="77777777" w:rsidR="006D15F7" w:rsidRPr="006B2E8B" w:rsidRDefault="00663534" w:rsidP="00663534">
      <w:pPr>
        <w:pStyle w:val="CLETTERED"/>
      </w:pPr>
      <w:r w:rsidRPr="006B2E8B">
        <w:t>F.</w:t>
      </w:r>
      <w:r w:rsidRPr="006B2E8B">
        <w:tab/>
      </w:r>
      <w:r w:rsidR="006D15F7" w:rsidRPr="006B2E8B">
        <w:t xml:space="preserve">PPS rate changes due to scope of services changes will be adjusted </w:t>
      </w:r>
      <w:proofErr w:type="gramStart"/>
      <w:r w:rsidR="006D15F7" w:rsidRPr="006B2E8B">
        <w:t>for the amount of</w:t>
      </w:r>
      <w:proofErr w:type="gramEnd"/>
      <w:r w:rsidR="006D15F7" w:rsidRPr="006B2E8B">
        <w:t xml:space="preserve"> the change only during the reporting period.</w:t>
      </w:r>
    </w:p>
    <w:p w14:paraId="6FFBAFE3" w14:textId="77777777" w:rsidR="006D15F7" w:rsidRPr="006B2E8B" w:rsidRDefault="00663534" w:rsidP="00663534">
      <w:pPr>
        <w:pStyle w:val="cnumbered"/>
      </w:pPr>
      <w:r w:rsidRPr="006B2E8B">
        <w:t>1.</w:t>
      </w:r>
      <w:r w:rsidRPr="006B2E8B">
        <w:tab/>
      </w:r>
      <w:r w:rsidR="006D15F7" w:rsidRPr="006B2E8B">
        <w:t xml:space="preserve">In Example 1, a PPS rate increase of $4.33 should be requested for the reporting period ending </w:t>
      </w:r>
      <w:smartTag w:uri="urn:schemas-microsoft-com:office:smarttags" w:element="date">
        <w:smartTagPr>
          <w:attr w:name="Year" w:val="2003"/>
          <w:attr w:name="Day" w:val="31"/>
          <w:attr w:name="Month" w:val="12"/>
        </w:smartTagPr>
        <w:r w:rsidR="006D15F7" w:rsidRPr="006B2E8B">
          <w:t>December 31, 2003</w:t>
        </w:r>
      </w:smartTag>
      <w:r w:rsidR="006D15F7" w:rsidRPr="006B2E8B">
        <w:t>.</w:t>
      </w:r>
    </w:p>
    <w:p w14:paraId="2597877C" w14:textId="77777777" w:rsidR="006D15F7" w:rsidRPr="006B2E8B" w:rsidRDefault="00663534" w:rsidP="00663534">
      <w:pPr>
        <w:pStyle w:val="cnumbered"/>
      </w:pPr>
      <w:r w:rsidRPr="006B2E8B">
        <w:t>2.</w:t>
      </w:r>
      <w:r w:rsidRPr="006B2E8B">
        <w:tab/>
      </w:r>
      <w:r w:rsidR="006D15F7" w:rsidRPr="006B2E8B">
        <w:t xml:space="preserve">In Example 2, a PPS rate increase of $4.26 should be requested for the reporting period ending </w:t>
      </w:r>
      <w:smartTag w:uri="urn:schemas-microsoft-com:office:smarttags" w:element="date">
        <w:smartTagPr>
          <w:attr w:name="Year" w:val="2003"/>
          <w:attr w:name="Day" w:val="31"/>
          <w:attr w:name="Month" w:val="12"/>
        </w:smartTagPr>
        <w:r w:rsidR="006D15F7" w:rsidRPr="006B2E8B">
          <w:t>December 31, 2003</w:t>
        </w:r>
      </w:smartTag>
      <w:r w:rsidR="006D15F7" w:rsidRPr="006B2E8B">
        <w:t>.</w:t>
      </w:r>
    </w:p>
    <w:p w14:paraId="413568CD" w14:textId="77777777" w:rsidR="006D15F7" w:rsidRPr="006B2E8B" w:rsidRDefault="00663534" w:rsidP="00663534">
      <w:pPr>
        <w:pStyle w:val="CLETTERED"/>
      </w:pPr>
      <w:r w:rsidRPr="006B2E8B">
        <w:t>G.</w:t>
      </w:r>
      <w:r w:rsidRPr="006B2E8B">
        <w:tab/>
      </w:r>
      <w:r w:rsidR="006D15F7" w:rsidRPr="006B2E8B">
        <w:t xml:space="preserve">Cost changes of less than 5% for a reporting year can only be used once </w:t>
      </w:r>
      <w:proofErr w:type="gramStart"/>
      <w:r w:rsidR="006D15F7" w:rsidRPr="006B2E8B">
        <w:t>in order to</w:t>
      </w:r>
      <w:proofErr w:type="gramEnd"/>
      <w:r w:rsidR="006D15F7" w:rsidRPr="006B2E8B">
        <w:t xml:space="preserve"> increase the PPS rate </w:t>
      </w:r>
      <w:proofErr w:type="gramStart"/>
      <w:r w:rsidR="006D15F7" w:rsidRPr="006B2E8B">
        <w:t>per</w:t>
      </w:r>
      <w:proofErr w:type="gramEnd"/>
      <w:r w:rsidR="006D15F7" w:rsidRPr="006B2E8B">
        <w:t xml:space="preserve"> scope of services changes.  Per Example 2 and if the $4.26 increase was approved, the cost increases incurred for new equipment purchased January 1, </w:t>
      </w:r>
      <w:proofErr w:type="gramStart"/>
      <w:r w:rsidR="006D15F7" w:rsidRPr="006B2E8B">
        <w:t>2003</w:t>
      </w:r>
      <w:proofErr w:type="gramEnd"/>
      <w:r w:rsidR="006D15F7" w:rsidRPr="006B2E8B">
        <w:t xml:space="preserve"> could not be used again with 2004 cost changes when calculating a percentage increase for 2004.</w:t>
      </w:r>
    </w:p>
    <w:p w14:paraId="390268A0" w14:textId="77777777" w:rsidR="006D15F7" w:rsidRPr="006B2E8B" w:rsidRDefault="00663534" w:rsidP="00663534">
      <w:pPr>
        <w:pStyle w:val="CLETTERED"/>
      </w:pPr>
      <w:r w:rsidRPr="006B2E8B">
        <w:t>H.</w:t>
      </w:r>
      <w:r w:rsidRPr="006B2E8B">
        <w:tab/>
      </w:r>
      <w:r w:rsidR="006D15F7" w:rsidRPr="006B2E8B">
        <w:t xml:space="preserve">MEI adjustments will be allocated per </w:t>
      </w:r>
      <w:proofErr w:type="gramStart"/>
      <w:r w:rsidR="006D15F7" w:rsidRPr="006B2E8B">
        <w:t>months</w:t>
      </w:r>
      <w:proofErr w:type="gramEnd"/>
      <w:r w:rsidR="006D15F7" w:rsidRPr="006B2E8B">
        <w:t xml:space="preserve"> of service applicable to an approved PPS rate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FA755E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C748809" w14:textId="77777777" w:rsidR="006D15F7" w:rsidRPr="006B2E8B" w:rsidRDefault="006D15F7">
            <w:pPr>
              <w:pStyle w:val="chead2"/>
              <w:numPr>
                <w:ilvl w:val="12"/>
                <w:numId w:val="0"/>
              </w:numPr>
              <w:ind w:left="1440" w:hanging="1440"/>
            </w:pPr>
            <w:bookmarkStart w:id="168" w:name="_Toc40064433"/>
            <w:bookmarkStart w:id="169" w:name="_Toc202162670"/>
            <w:r w:rsidRPr="006B2E8B">
              <w:t>252.230</w:t>
            </w:r>
            <w:r w:rsidRPr="006B2E8B">
              <w:tab/>
              <w:t xml:space="preserve">Reimbursement for Other Ambulatory Services Encounters in FQHCs Electing the Alternative Reimbursement Methodology for Dates of Service on and after </w:t>
            </w:r>
            <w:smartTag w:uri="urn:schemas-microsoft-com:office:smarttags" w:element="date">
              <w:smartTagPr>
                <w:attr w:name="Year" w:val="2001"/>
                <w:attr w:name="Day" w:val="1"/>
                <w:attr w:name="Month" w:val="1"/>
              </w:smartTagPr>
              <w:r w:rsidRPr="006B2E8B">
                <w:t>January 1, 2001</w:t>
              </w:r>
            </w:smartTag>
            <w:bookmarkEnd w:id="168"/>
            <w:bookmarkEnd w:id="169"/>
          </w:p>
        </w:tc>
        <w:tc>
          <w:tcPr>
            <w:tcW w:w="1238" w:type="dxa"/>
            <w:tcBorders>
              <w:top w:val="single" w:sz="6" w:space="0" w:color="FFFFFF"/>
              <w:left w:val="single" w:sz="6" w:space="0" w:color="FFFFFF"/>
              <w:bottom w:val="single" w:sz="6" w:space="0" w:color="FFFFFF"/>
              <w:right w:val="single" w:sz="6" w:space="0" w:color="FFFFFF"/>
            </w:tcBorders>
          </w:tcPr>
          <w:p w14:paraId="0D9386CE" w14:textId="77777777" w:rsidR="006D15F7" w:rsidRPr="006B2E8B" w:rsidRDefault="006D15F7">
            <w:pPr>
              <w:pStyle w:val="cDate2"/>
              <w:numPr>
                <w:ilvl w:val="12"/>
                <w:numId w:val="0"/>
              </w:numPr>
            </w:pPr>
            <w:smartTag w:uri="urn:schemas-microsoft-com:office:smarttags" w:element="date">
              <w:smartTagPr>
                <w:attr w:name="Year" w:val="2003"/>
                <w:attr w:name="Day" w:val="13"/>
                <w:attr w:name="Month" w:val="10"/>
              </w:smartTagPr>
              <w:r w:rsidRPr="006B2E8B">
                <w:t>10-13-03</w:t>
              </w:r>
            </w:smartTag>
          </w:p>
        </w:tc>
      </w:tr>
    </w:tbl>
    <w:p w14:paraId="0196E97E" w14:textId="77777777" w:rsidR="006D15F7" w:rsidRPr="006B2E8B" w:rsidRDefault="006D15F7">
      <w:pPr>
        <w:pStyle w:val="ctext"/>
        <w:numPr>
          <w:ilvl w:val="12"/>
          <w:numId w:val="0"/>
        </w:numPr>
        <w:ind w:left="360"/>
      </w:pPr>
      <w:r w:rsidRPr="006B2E8B">
        <w:t xml:space="preserve">Medicaid will reimburse the FQHC for services defined as "other ambulatory services" within the program covering each </w:t>
      </w:r>
      <w:proofErr w:type="gramStart"/>
      <w:r w:rsidRPr="006B2E8B">
        <w:t>particular service</w:t>
      </w:r>
      <w:proofErr w:type="gramEnd"/>
      <w:r w:rsidRPr="006B2E8B">
        <w:t>.</w:t>
      </w:r>
    </w:p>
    <w:p w14:paraId="15883C5A" w14:textId="77777777" w:rsidR="006D15F7" w:rsidRPr="006B2E8B" w:rsidRDefault="00663534" w:rsidP="00663534">
      <w:pPr>
        <w:pStyle w:val="CLETTERED"/>
      </w:pPr>
      <w:r w:rsidRPr="006B2E8B">
        <w:t>A.</w:t>
      </w:r>
      <w:r w:rsidRPr="006B2E8B">
        <w:tab/>
      </w:r>
      <w:r w:rsidR="006D15F7" w:rsidRPr="006B2E8B">
        <w:t>The FQHC must enroll as a "pay to" provider of that service.</w:t>
      </w:r>
    </w:p>
    <w:p w14:paraId="267FF74E" w14:textId="77777777" w:rsidR="006D15F7" w:rsidRPr="006B2E8B" w:rsidRDefault="00663534" w:rsidP="00663534">
      <w:pPr>
        <w:pStyle w:val="cnumbered"/>
      </w:pPr>
      <w:r w:rsidRPr="006B2E8B">
        <w:t>1.</w:t>
      </w:r>
      <w:r w:rsidRPr="006B2E8B">
        <w:tab/>
      </w:r>
      <w:r w:rsidR="006D15F7" w:rsidRPr="006B2E8B">
        <w:t>The center will bill for dental services under the Dental Program, visual services under the Visual Care Program, etc.</w:t>
      </w:r>
    </w:p>
    <w:p w14:paraId="163F2991" w14:textId="77777777" w:rsidR="006D15F7" w:rsidRPr="006B2E8B" w:rsidRDefault="00663534" w:rsidP="00663534">
      <w:pPr>
        <w:pStyle w:val="cnumbered"/>
      </w:pPr>
      <w:r w:rsidRPr="006B2E8B">
        <w:t>2.</w:t>
      </w:r>
      <w:r w:rsidRPr="006B2E8B">
        <w:tab/>
      </w:r>
      <w:r w:rsidR="006D15F7" w:rsidRPr="006B2E8B">
        <w:t xml:space="preserve">Medicaid will reimburse the center for other ambulatory services encounters at the lesser of the billed charge or the established Medicaid maximum allowable for the service within the program </w:t>
      </w:r>
      <w:proofErr w:type="gramStart"/>
      <w:r w:rsidR="006D15F7" w:rsidRPr="006B2E8B">
        <w:t>in</w:t>
      </w:r>
      <w:proofErr w:type="gramEnd"/>
      <w:r w:rsidR="006D15F7" w:rsidRPr="006B2E8B">
        <w:t xml:space="preserve"> which it is billed.</w:t>
      </w:r>
    </w:p>
    <w:p w14:paraId="102A60AE" w14:textId="77777777" w:rsidR="006D15F7" w:rsidRPr="006B2E8B" w:rsidRDefault="00663534" w:rsidP="00663534">
      <w:pPr>
        <w:pStyle w:val="cnumbered"/>
      </w:pPr>
      <w:r w:rsidRPr="006B2E8B">
        <w:t>3.</w:t>
      </w:r>
      <w:r w:rsidRPr="006B2E8B">
        <w:tab/>
      </w:r>
      <w:r w:rsidR="006D15F7" w:rsidRPr="006B2E8B">
        <w:t xml:space="preserve">Providers must bill </w:t>
      </w:r>
      <w:proofErr w:type="gramStart"/>
      <w:r w:rsidR="006D15F7" w:rsidRPr="006B2E8B">
        <w:t>Medicaid</w:t>
      </w:r>
      <w:proofErr w:type="gramEnd"/>
      <w:r w:rsidR="006D15F7" w:rsidRPr="006B2E8B">
        <w:t xml:space="preserve"> their customary charge for other ambulatory services.</w:t>
      </w:r>
    </w:p>
    <w:p w14:paraId="44CBA97F" w14:textId="77777777" w:rsidR="006D15F7" w:rsidRPr="006B2E8B" w:rsidRDefault="00663534" w:rsidP="00663534">
      <w:pPr>
        <w:pStyle w:val="CLETTERED"/>
      </w:pPr>
      <w:r w:rsidRPr="006B2E8B">
        <w:t>B.</w:t>
      </w:r>
      <w:r w:rsidRPr="006B2E8B">
        <w:tab/>
      </w:r>
      <w:r w:rsidR="006D15F7" w:rsidRPr="006B2E8B">
        <w:t>Medicaid will include the other ambulatory services encounters and applicable costs when calculating annual settlements at the greater of costs or the prospective rate.</w:t>
      </w:r>
    </w:p>
    <w:p w14:paraId="54324AC2" w14:textId="77777777" w:rsidR="005C029C" w:rsidRPr="006B2E8B" w:rsidRDefault="00663534" w:rsidP="00663534">
      <w:pPr>
        <w:pStyle w:val="CLETTERED"/>
      </w:pPr>
      <w:r w:rsidRPr="006B2E8B">
        <w:t>C.</w:t>
      </w:r>
      <w:r w:rsidRPr="006B2E8B">
        <w:tab/>
      </w:r>
      <w:r w:rsidR="006D15F7" w:rsidRPr="006B2E8B">
        <w:t>Pharmacy reimbursement and costs will not be included for cost settlement purposes.  Pharmacy services are considered reimbursed at cost through the Pharmacy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C029C" w:rsidRPr="006B2E8B" w14:paraId="2A148BC7" w14:textId="77777777" w:rsidTr="005C029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86ADFED" w14:textId="77777777" w:rsidR="005C029C" w:rsidRPr="006B2E8B" w:rsidRDefault="005C029C">
            <w:pPr>
              <w:pStyle w:val="chead2"/>
            </w:pPr>
            <w:bookmarkStart w:id="170" w:name="_Toc20537987"/>
            <w:bookmarkStart w:id="171" w:name="_Toc20534448"/>
            <w:bookmarkStart w:id="172" w:name="_Toc24252727"/>
            <w:bookmarkStart w:id="173" w:name="_Toc24443504"/>
            <w:bookmarkStart w:id="174" w:name="_Toc202162671"/>
            <w:r w:rsidRPr="006B2E8B">
              <w:lastRenderedPageBreak/>
              <w:t>252.231</w:t>
            </w:r>
            <w:r w:rsidRPr="006B2E8B">
              <w:tab/>
            </w:r>
            <w:bookmarkEnd w:id="170"/>
            <w:bookmarkEnd w:id="171"/>
            <w:bookmarkEnd w:id="172"/>
            <w:bookmarkEnd w:id="173"/>
            <w:r w:rsidRPr="006B2E8B">
              <w:t>Fee Schedules</w:t>
            </w:r>
            <w:bookmarkEnd w:id="174"/>
          </w:p>
        </w:tc>
        <w:tc>
          <w:tcPr>
            <w:tcW w:w="1238" w:type="dxa"/>
            <w:tcBorders>
              <w:top w:val="single" w:sz="2" w:space="0" w:color="FFFFFF"/>
              <w:left w:val="single" w:sz="6" w:space="0" w:color="FFFFFF"/>
              <w:bottom w:val="single" w:sz="2" w:space="0" w:color="FFFFFF"/>
              <w:right w:val="single" w:sz="2" w:space="0" w:color="FFFFFF"/>
            </w:tcBorders>
            <w:hideMark/>
          </w:tcPr>
          <w:p w14:paraId="271D4CB5" w14:textId="77777777" w:rsidR="005C029C" w:rsidRPr="006B2E8B" w:rsidRDefault="005C029C">
            <w:pPr>
              <w:pStyle w:val="cDate2"/>
            </w:pPr>
            <w:r w:rsidRPr="006B2E8B">
              <w:t>12-1-12</w:t>
            </w:r>
          </w:p>
        </w:tc>
      </w:tr>
    </w:tbl>
    <w:p w14:paraId="71432AD4" w14:textId="77777777" w:rsidR="005C029C" w:rsidRPr="006B2E8B" w:rsidRDefault="005C029C" w:rsidP="005C029C">
      <w:pPr>
        <w:pStyle w:val="ctext"/>
      </w:pPr>
      <w:r w:rsidRPr="006B2E8B">
        <w:t xml:space="preserve">Arkansas Medicaid provides fee schedules on the Arkansas Medicaid website.  The fee schedule link is located at </w:t>
      </w:r>
      <w:hyperlink r:id="rId34" w:history="1">
        <w:r w:rsidR="00483844" w:rsidRPr="006B2E8B">
          <w:rPr>
            <w:rStyle w:val="Hyperlink"/>
          </w:rPr>
          <w:t>https://medicaid.mmis.arkansas.gov/</w:t>
        </w:r>
      </w:hyperlink>
      <w:r w:rsidRPr="006B2E8B">
        <w:t xml:space="preserve"> under the provider manual section.  The fees represent the fee-for-service reimbursement methodology.  </w:t>
      </w:r>
    </w:p>
    <w:p w14:paraId="38CF098B" w14:textId="77777777" w:rsidR="005C029C" w:rsidRPr="006B2E8B" w:rsidRDefault="005C029C" w:rsidP="005C029C">
      <w:pPr>
        <w:pStyle w:val="ctext"/>
      </w:pPr>
      <w:r w:rsidRPr="006B2E8B">
        <w:t xml:space="preserve">Fee schedules do not address coverage limitations or special instructions applied by Arkansas Medicaid before final payment is determined.  </w:t>
      </w:r>
    </w:p>
    <w:p w14:paraId="79ADDD27" w14:textId="77777777" w:rsidR="005C029C" w:rsidRPr="006B2E8B" w:rsidRDefault="005C029C" w:rsidP="005C029C">
      <w:pPr>
        <w:pStyle w:val="ctext"/>
      </w:pPr>
      <w:r w:rsidRPr="006B2E8B">
        <w:t xml:space="preserve">Procedure codes and/or fee schedules do not guarantee payment, coverage or amount allowed.  Information may be changed or updated at any time to correct a discrepancy and/or error.  Arkansas Medicaid always reimburses the </w:t>
      </w:r>
      <w:proofErr w:type="gramStart"/>
      <w:r w:rsidRPr="006B2E8B">
        <w:t>lesser of the</w:t>
      </w:r>
      <w:proofErr w:type="gramEnd"/>
      <w:r w:rsidRPr="006B2E8B">
        <w:t xml:space="preserv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459300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E0A2232" w14:textId="77777777" w:rsidR="006D15F7" w:rsidRPr="006B2E8B" w:rsidRDefault="006D15F7">
            <w:pPr>
              <w:pStyle w:val="chead2"/>
              <w:numPr>
                <w:ilvl w:val="12"/>
                <w:numId w:val="0"/>
              </w:numPr>
              <w:ind w:left="1440" w:hanging="1440"/>
            </w:pPr>
            <w:bookmarkStart w:id="175" w:name="_Toc40064434"/>
            <w:bookmarkStart w:id="176" w:name="_Toc202162672"/>
            <w:r w:rsidRPr="006B2E8B">
              <w:t>252.240</w:t>
            </w:r>
            <w:r w:rsidRPr="006B2E8B">
              <w:tab/>
              <w:t>Settlement for Services Reported by CPT or HCPCS Procedure Code Other than the FQHC Encounter Code</w:t>
            </w:r>
            <w:bookmarkEnd w:id="175"/>
            <w:bookmarkEnd w:id="176"/>
          </w:p>
        </w:tc>
        <w:tc>
          <w:tcPr>
            <w:tcW w:w="1238" w:type="dxa"/>
            <w:tcBorders>
              <w:top w:val="single" w:sz="6" w:space="0" w:color="FFFFFF"/>
              <w:left w:val="single" w:sz="6" w:space="0" w:color="FFFFFF"/>
              <w:bottom w:val="single" w:sz="6" w:space="0" w:color="FFFFFF"/>
              <w:right w:val="single" w:sz="6" w:space="0" w:color="FFFFFF"/>
            </w:tcBorders>
          </w:tcPr>
          <w:p w14:paraId="05CEA9EA" w14:textId="77777777" w:rsidR="006D15F7" w:rsidRPr="006B2E8B" w:rsidRDefault="006D15F7">
            <w:pPr>
              <w:pStyle w:val="cDate2"/>
              <w:numPr>
                <w:ilvl w:val="12"/>
                <w:numId w:val="0"/>
              </w:numPr>
            </w:pPr>
            <w:smartTag w:uri="urn:schemas-microsoft-com:office:smarttags" w:element="date">
              <w:smartTagPr>
                <w:attr w:name="Year" w:val="2003"/>
                <w:attr w:name="Day" w:val="13"/>
                <w:attr w:name="Month" w:val="10"/>
              </w:smartTagPr>
              <w:r w:rsidRPr="006B2E8B">
                <w:t>10-13-03</w:t>
              </w:r>
            </w:smartTag>
          </w:p>
        </w:tc>
      </w:tr>
    </w:tbl>
    <w:p w14:paraId="4C936078" w14:textId="77777777" w:rsidR="006D15F7" w:rsidRPr="006B2E8B" w:rsidRDefault="006D15F7">
      <w:pPr>
        <w:pStyle w:val="ctext"/>
        <w:numPr>
          <w:ilvl w:val="12"/>
          <w:numId w:val="0"/>
        </w:numPr>
        <w:ind w:left="360"/>
      </w:pPr>
      <w:r w:rsidRPr="006B2E8B">
        <w:t>Arkansas Medicaid initially reimburses FQHCs for some services reported by CPT or HCPCS procedure codes other than the FQHC encounter code.  They are later settled as encounters in the same manner as other ambulatory services are settled.</w:t>
      </w:r>
    </w:p>
    <w:p w14:paraId="4CE8A7B8" w14:textId="77777777" w:rsidR="006D15F7" w:rsidRPr="006B2E8B" w:rsidRDefault="00663534" w:rsidP="00663534">
      <w:pPr>
        <w:pStyle w:val="CLETTERED"/>
      </w:pPr>
      <w:r w:rsidRPr="006B2E8B">
        <w:t>A.</w:t>
      </w:r>
      <w:r w:rsidRPr="006B2E8B">
        <w:tab/>
      </w:r>
      <w:r w:rsidR="006D15F7" w:rsidRPr="006B2E8B">
        <w:t>Effective for dates of service on and after January 1, 2003, the procedure codes listed in this manual, the Child Health Services (EPSDT) provider manual and the ARKids First-B Provider Manual (with the exception of the FQHC encounter procedure code and the telemedicine procedure code) will be initially reimbursed in accordance with the Arkansas Medicaid fee schedule, at the lesser of the billed charge or the Medicaid maximum allowable fee.</w:t>
      </w:r>
    </w:p>
    <w:p w14:paraId="14772CAA" w14:textId="77777777" w:rsidR="006D15F7" w:rsidRPr="006B2E8B" w:rsidRDefault="00663534" w:rsidP="00663534">
      <w:pPr>
        <w:pStyle w:val="CLETTERED"/>
      </w:pPr>
      <w:r w:rsidRPr="006B2E8B">
        <w:t>B.</w:t>
      </w:r>
      <w:r w:rsidRPr="006B2E8B">
        <w:tab/>
      </w:r>
      <w:r w:rsidR="006D15F7" w:rsidRPr="006B2E8B">
        <w:t>The telemedicine procedure code and procedure codes for services, except for family planning-related laboratory procedures listed in this manual, will be denied.</w:t>
      </w:r>
    </w:p>
    <w:p w14:paraId="3AF94209" w14:textId="77777777" w:rsidR="006D15F7" w:rsidRPr="006B2E8B" w:rsidRDefault="00663534" w:rsidP="00663534">
      <w:pPr>
        <w:pStyle w:val="CLETTERED"/>
      </w:pPr>
      <w:proofErr w:type="gramStart"/>
      <w:r w:rsidRPr="006B2E8B">
        <w:t>C.</w:t>
      </w:r>
      <w:r w:rsidRPr="006B2E8B">
        <w:tab/>
      </w:r>
      <w:r w:rsidR="006D15F7" w:rsidRPr="006B2E8B">
        <w:t>Except</w:t>
      </w:r>
      <w:proofErr w:type="gramEnd"/>
      <w:r w:rsidR="006D15F7" w:rsidRPr="006B2E8B">
        <w:t xml:space="preserve"> for ancillary services (lab, </w:t>
      </w:r>
      <w:proofErr w:type="gramStart"/>
      <w:r w:rsidR="006D15F7" w:rsidRPr="006B2E8B">
        <w:t>X-ray</w:t>
      </w:r>
      <w:proofErr w:type="gramEnd"/>
      <w:r w:rsidR="006D15F7" w:rsidRPr="006B2E8B">
        <w:t xml:space="preserve"> and machine tests), FQHC providers may not bill Medicaid with procedure codes that are not listed in this provider manual, the Child Health Services (EPSDT) provider manual and the ARKids First-B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35619CE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76729AA" w14:textId="77777777" w:rsidR="006D15F7" w:rsidRPr="006B2E8B" w:rsidRDefault="006D15F7">
            <w:pPr>
              <w:pStyle w:val="chead2"/>
              <w:numPr>
                <w:ilvl w:val="12"/>
                <w:numId w:val="0"/>
              </w:numPr>
              <w:ind w:left="1440" w:hanging="1440"/>
            </w:pPr>
            <w:bookmarkStart w:id="177" w:name="_Toc40064435"/>
            <w:bookmarkStart w:id="178" w:name="_Toc202162673"/>
            <w:r w:rsidRPr="006B2E8B">
              <w:t>252.241</w:t>
            </w:r>
            <w:r w:rsidRPr="006B2E8B">
              <w:tab/>
              <w:t>Settling for Vaccines for Children (VFC) Program Immunization Administration</w:t>
            </w:r>
            <w:bookmarkEnd w:id="177"/>
            <w:bookmarkEnd w:id="178"/>
          </w:p>
        </w:tc>
        <w:tc>
          <w:tcPr>
            <w:tcW w:w="1238" w:type="dxa"/>
            <w:tcBorders>
              <w:top w:val="single" w:sz="6" w:space="0" w:color="FFFFFF"/>
              <w:left w:val="single" w:sz="6" w:space="0" w:color="FFFFFF"/>
              <w:bottom w:val="single" w:sz="6" w:space="0" w:color="FFFFFF"/>
              <w:right w:val="single" w:sz="6" w:space="0" w:color="FFFFFF"/>
            </w:tcBorders>
          </w:tcPr>
          <w:p w14:paraId="1BB622CC" w14:textId="77777777" w:rsidR="006D15F7" w:rsidRPr="006B2E8B" w:rsidRDefault="006D15F7">
            <w:pPr>
              <w:pStyle w:val="cDate2"/>
              <w:numPr>
                <w:ilvl w:val="12"/>
                <w:numId w:val="0"/>
              </w:numPr>
            </w:pPr>
            <w:smartTag w:uri="urn:schemas-microsoft-com:office:smarttags" w:element="date">
              <w:smartTagPr>
                <w:attr w:name="Year" w:val="2003"/>
                <w:attr w:name="Day" w:val="13"/>
                <w:attr w:name="Month" w:val="10"/>
              </w:smartTagPr>
              <w:r w:rsidRPr="006B2E8B">
                <w:t>10-13-03</w:t>
              </w:r>
            </w:smartTag>
          </w:p>
        </w:tc>
      </w:tr>
    </w:tbl>
    <w:p w14:paraId="7CCC93D1" w14:textId="77777777" w:rsidR="006D15F7" w:rsidRPr="006B2E8B" w:rsidRDefault="006D15F7">
      <w:pPr>
        <w:pStyle w:val="ctext"/>
        <w:numPr>
          <w:ilvl w:val="12"/>
          <w:numId w:val="0"/>
        </w:numPr>
        <w:ind w:left="360"/>
      </w:pPr>
      <w:r w:rsidRPr="006B2E8B">
        <w:t>Medicaid requires FQHCs to report VFC immunization administration by procedure code and applicable modifier.  Medicaid pays interim reimbursement to FQHCs for the administration.  The vaccine administration is incident to an encounter and is settled as such.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B6188B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F4FB395" w14:textId="77777777" w:rsidR="006D15F7" w:rsidRPr="006B2E8B" w:rsidRDefault="006D15F7">
            <w:pPr>
              <w:pStyle w:val="chead2"/>
              <w:numPr>
                <w:ilvl w:val="12"/>
                <w:numId w:val="0"/>
              </w:numPr>
              <w:ind w:left="1440" w:hanging="1440"/>
            </w:pPr>
            <w:bookmarkStart w:id="179" w:name="_Toc40064436"/>
            <w:bookmarkStart w:id="180" w:name="_Toc202162674"/>
            <w:r w:rsidRPr="006B2E8B">
              <w:t>253.000</w:t>
            </w:r>
            <w:r w:rsidRPr="006B2E8B">
              <w:tab/>
              <w:t>Filing Cost Report Form CMS-222-92 (formerly HCFA-222-92)</w:t>
            </w:r>
            <w:bookmarkEnd w:id="179"/>
            <w:bookmarkEnd w:id="180"/>
          </w:p>
        </w:tc>
        <w:tc>
          <w:tcPr>
            <w:tcW w:w="1238" w:type="dxa"/>
            <w:tcBorders>
              <w:top w:val="single" w:sz="6" w:space="0" w:color="FFFFFF"/>
              <w:left w:val="single" w:sz="6" w:space="0" w:color="FFFFFF"/>
              <w:bottom w:val="single" w:sz="6" w:space="0" w:color="FFFFFF"/>
              <w:right w:val="single" w:sz="6" w:space="0" w:color="FFFFFF"/>
            </w:tcBorders>
          </w:tcPr>
          <w:p w14:paraId="3FA9424E" w14:textId="77777777" w:rsidR="006D15F7" w:rsidRPr="006B2E8B" w:rsidRDefault="006D15F7">
            <w:pPr>
              <w:pStyle w:val="cDate2"/>
              <w:numPr>
                <w:ilvl w:val="12"/>
                <w:numId w:val="0"/>
              </w:numPr>
            </w:pPr>
            <w:smartTag w:uri="urn:schemas-microsoft-com:office:smarttags" w:element="date">
              <w:smartTagPr>
                <w:attr w:name="Year" w:val="2003"/>
                <w:attr w:name="Day" w:val="13"/>
                <w:attr w:name="Month" w:val="10"/>
              </w:smartTagPr>
              <w:r w:rsidRPr="006B2E8B">
                <w:t>10-13-03</w:t>
              </w:r>
            </w:smartTag>
          </w:p>
        </w:tc>
      </w:tr>
    </w:tbl>
    <w:p w14:paraId="47C7DC21" w14:textId="77777777" w:rsidR="006D15F7" w:rsidRPr="006B2E8B" w:rsidRDefault="00663534" w:rsidP="00663534">
      <w:pPr>
        <w:pStyle w:val="CLETTERED"/>
      </w:pPr>
      <w:r w:rsidRPr="006B2E8B">
        <w:t>A.</w:t>
      </w:r>
      <w:r w:rsidRPr="006B2E8B">
        <w:tab/>
      </w:r>
      <w:r w:rsidR="006D15F7" w:rsidRPr="006B2E8B">
        <w:t xml:space="preserve">At the end of an FQHC's fiscal year, it must </w:t>
      </w:r>
      <w:proofErr w:type="gramStart"/>
      <w:r w:rsidR="006D15F7" w:rsidRPr="006B2E8B">
        <w:t>complete</w:t>
      </w:r>
      <w:proofErr w:type="gramEnd"/>
      <w:r w:rsidR="006D15F7" w:rsidRPr="006B2E8B">
        <w:t xml:space="preserve"> </w:t>
      </w:r>
      <w:proofErr w:type="gramStart"/>
      <w:r w:rsidR="006D15F7" w:rsidRPr="006B2E8B">
        <w:t>form</w:t>
      </w:r>
      <w:proofErr w:type="gramEnd"/>
      <w:r w:rsidR="006D15F7" w:rsidRPr="006B2E8B">
        <w:t xml:space="preserve"> CMS-222-92 (formerly HCFA-222-92).</w:t>
      </w:r>
    </w:p>
    <w:p w14:paraId="5954C889" w14:textId="77777777" w:rsidR="006D15F7" w:rsidRPr="006B2E8B" w:rsidRDefault="00663534" w:rsidP="00663534">
      <w:pPr>
        <w:pStyle w:val="CLETTERED"/>
      </w:pPr>
      <w:r w:rsidRPr="006B2E8B">
        <w:t>B.</w:t>
      </w:r>
      <w:r w:rsidRPr="006B2E8B">
        <w:tab/>
      </w:r>
      <w:r w:rsidR="006D15F7" w:rsidRPr="006B2E8B">
        <w:t>The deadline for submission to Medicaid is 5 months from the end date of the cost reporting period.</w:t>
      </w:r>
    </w:p>
    <w:p w14:paraId="249E14DA" w14:textId="52DE2FAA" w:rsidR="006D15F7" w:rsidRPr="006B2E8B" w:rsidRDefault="00663534" w:rsidP="00663534">
      <w:pPr>
        <w:pStyle w:val="CLETTERED"/>
      </w:pPr>
      <w:r w:rsidRPr="006B2E8B">
        <w:t>C.</w:t>
      </w:r>
      <w:r w:rsidRPr="006B2E8B">
        <w:tab/>
      </w:r>
      <w:r w:rsidR="006D15F7" w:rsidRPr="006B2E8B">
        <w:t xml:space="preserve">Forward the completed Form CMS-222-92 (formerly HCFA-222-92) to Division of Medical Services, Financial Activities Unit.  </w:t>
      </w:r>
      <w:hyperlink r:id="rId35" w:history="1">
        <w:r w:rsidR="006D15F7" w:rsidRPr="006B2E8B">
          <w:rPr>
            <w:rStyle w:val="Hyperlink"/>
          </w:rPr>
          <w:t>View or print DMS, Financial Activities Unit contact information</w:t>
        </w:r>
      </w:hyperlink>
      <w:r w:rsidR="006D15F7" w:rsidRPr="006B2E8B">
        <w:t>.</w:t>
      </w:r>
    </w:p>
    <w:p w14:paraId="5F92A3F1" w14:textId="77777777" w:rsidR="006D15F7" w:rsidRPr="006B2E8B" w:rsidRDefault="00663534" w:rsidP="00663534">
      <w:pPr>
        <w:pStyle w:val="CLETTERED"/>
      </w:pPr>
      <w:r w:rsidRPr="006B2E8B">
        <w:t>D.</w:t>
      </w:r>
      <w:r w:rsidRPr="006B2E8B">
        <w:tab/>
      </w:r>
      <w:r w:rsidR="006D15F7" w:rsidRPr="006B2E8B">
        <w:t>Medicaid will suspend reimbursement, pending receipt of the CMS-222-92 (formerly HCFA-222-92), to any FQHC not submitting the CMS-222-92 to Financial Activities by the 5-month deadline.</w:t>
      </w:r>
    </w:p>
    <w:p w14:paraId="17A84FF6" w14:textId="77777777" w:rsidR="006D15F7" w:rsidRPr="006B2E8B" w:rsidRDefault="00663534" w:rsidP="00663534">
      <w:pPr>
        <w:pStyle w:val="CLETTERED"/>
      </w:pPr>
      <w:r w:rsidRPr="006B2E8B">
        <w:t>E.</w:t>
      </w:r>
      <w:r w:rsidRPr="006B2E8B">
        <w:tab/>
      </w:r>
      <w:r w:rsidR="006D15F7" w:rsidRPr="006B2E8B">
        <w:t xml:space="preserve">If a written request for an extension is received by the Financial Activities Unit ten or more working days in advance of the report due date and a written extension is granted, </w:t>
      </w:r>
      <w:r w:rsidR="006D15F7" w:rsidRPr="006B2E8B">
        <w:lastRenderedPageBreak/>
        <w:t xml:space="preserve">Medicaid will not suspend reimbursement, provided that the extended due date is met.  Each request for extension will be considered </w:t>
      </w:r>
      <w:proofErr w:type="gramStart"/>
      <w:r w:rsidR="006D15F7" w:rsidRPr="006B2E8B">
        <w:t>on</w:t>
      </w:r>
      <w:proofErr w:type="gramEnd"/>
      <w:r w:rsidR="006D15F7" w:rsidRPr="006B2E8B">
        <w:t xml:space="preserve"> its merit.  No extension will be granted unless the facility provides written evidence of extenuating circumstances beyond its control, which caused a late report.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62AC9E6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F104A10" w14:textId="77777777" w:rsidR="006D15F7" w:rsidRPr="006B2E8B" w:rsidRDefault="006D15F7">
            <w:pPr>
              <w:pStyle w:val="chead2"/>
            </w:pPr>
            <w:bookmarkStart w:id="181" w:name="_Toc40064437"/>
            <w:bookmarkStart w:id="182" w:name="_Toc202162675"/>
            <w:r w:rsidRPr="006B2E8B">
              <w:t>254.000</w:t>
            </w:r>
            <w:r w:rsidRPr="006B2E8B">
              <w:tab/>
              <w:t>Access to Subcontractor's Records</w:t>
            </w:r>
            <w:bookmarkEnd w:id="181"/>
            <w:bookmarkEnd w:id="182"/>
          </w:p>
        </w:tc>
        <w:tc>
          <w:tcPr>
            <w:tcW w:w="1238" w:type="dxa"/>
            <w:tcBorders>
              <w:top w:val="single" w:sz="6" w:space="0" w:color="FFFFFF"/>
              <w:left w:val="single" w:sz="6" w:space="0" w:color="FFFFFF"/>
              <w:bottom w:val="single" w:sz="6" w:space="0" w:color="FFFFFF"/>
              <w:right w:val="single" w:sz="6" w:space="0" w:color="FFFFFF"/>
            </w:tcBorders>
          </w:tcPr>
          <w:p w14:paraId="1EF61C69"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13454FA7" w14:textId="77777777" w:rsidR="006D15F7" w:rsidRPr="006B2E8B" w:rsidRDefault="006D15F7">
      <w:pPr>
        <w:pStyle w:val="ctext"/>
      </w:pPr>
      <w:r w:rsidRPr="006B2E8B">
        <w:t>When the FQHC has a contract with a subcontractor for services costing or valued at $10,000.00 or more over a 12-month period, the contract must contain a clause giving the Medicaid agency access to the subcontractor's books.  Access must also be allowed for any subcontract between the subcontractor and an organization related to the subcontractor.  The contract shall contain a provision allowing access as explained in Section 204.000.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427B752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50D6DAB" w14:textId="77777777" w:rsidR="006D15F7" w:rsidRPr="006B2E8B" w:rsidRDefault="006D15F7">
            <w:pPr>
              <w:pStyle w:val="chead2"/>
            </w:pPr>
            <w:bookmarkStart w:id="183" w:name="_Toc40064438"/>
            <w:bookmarkStart w:id="184" w:name="_Toc202162676"/>
            <w:r w:rsidRPr="006B2E8B">
              <w:t>255.000</w:t>
            </w:r>
            <w:r w:rsidRPr="006B2E8B">
              <w:tab/>
              <w:t>Rate Appeal and/or Cost Settlement Appeal Process</w:t>
            </w:r>
            <w:bookmarkEnd w:id="183"/>
            <w:bookmarkEnd w:id="184"/>
          </w:p>
        </w:tc>
        <w:tc>
          <w:tcPr>
            <w:tcW w:w="1238" w:type="dxa"/>
            <w:tcBorders>
              <w:top w:val="single" w:sz="6" w:space="0" w:color="FFFFFF"/>
              <w:left w:val="single" w:sz="6" w:space="0" w:color="FFFFFF"/>
              <w:bottom w:val="single" w:sz="6" w:space="0" w:color="FFFFFF"/>
              <w:right w:val="single" w:sz="6" w:space="0" w:color="FFFFFF"/>
            </w:tcBorders>
          </w:tcPr>
          <w:p w14:paraId="4F351535"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154A76BF" w14:textId="597107B7" w:rsidR="006D15F7" w:rsidRPr="006B2E8B" w:rsidRDefault="006D15F7">
      <w:pPr>
        <w:pStyle w:val="ctext"/>
      </w:pPr>
      <w:r w:rsidRPr="006B2E8B">
        <w:t xml:space="preserve">A provider may request reconsideration of a Program decision by writing to the Assistant Director, Division of Medical Services.  </w:t>
      </w:r>
      <w:hyperlink r:id="rId36" w:history="1">
        <w:r w:rsidRPr="006B2E8B">
          <w:rPr>
            <w:rStyle w:val="Hyperlink"/>
          </w:rPr>
          <w:t>View or print Director, Division of Medical Services contact information</w:t>
        </w:r>
      </w:hyperlink>
      <w:r w:rsidRPr="006B2E8B">
        <w:t>.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64BA307C" w14:textId="77777777" w:rsidR="006D15F7" w:rsidRPr="006B2E8B" w:rsidRDefault="006D15F7">
      <w:pPr>
        <w:pStyle w:val="ctext"/>
      </w:pPr>
      <w:r w:rsidRPr="006B2E8B">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55E3009A" w14:textId="77777777" w:rsidR="006D15F7" w:rsidRPr="006B2E8B" w:rsidRDefault="006D15F7">
      <w:pPr>
        <w:pStyle w:val="ctext"/>
      </w:pPr>
      <w:r w:rsidRPr="006B2E8B">
        <w:t xml:space="preserve">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w:t>
      </w:r>
      <w:proofErr w:type="gramStart"/>
      <w:r w:rsidRPr="006B2E8B">
        <w:t>receipt of</w:t>
      </w:r>
      <w:proofErr w:type="gramEnd"/>
      <w:r w:rsidRPr="006B2E8B">
        <w:t xml:space="preserve"> a request for such </w:t>
      </w:r>
      <w:proofErr w:type="gramStart"/>
      <w:r w:rsidRPr="006B2E8B">
        <w:t>appeal</w:t>
      </w:r>
      <w:proofErr w:type="gramEnd"/>
      <w:r w:rsidRPr="006B2E8B">
        <w:t xml:space="preserve">.  The </w:t>
      </w:r>
      <w:proofErr w:type="gramStart"/>
      <w:r w:rsidRPr="006B2E8B">
        <w:t>question(s)</w:t>
      </w:r>
      <w:proofErr w:type="gramEnd"/>
      <w:r w:rsidRPr="006B2E8B">
        <w:t xml:space="preserve"> will be heard by the panel and a recommendation will be submitted to the Director of the Division of Medical Services.</w:t>
      </w:r>
    </w:p>
    <w:p w14:paraId="009B01F2" w14:textId="77777777" w:rsidR="006D15F7" w:rsidRPr="006B2E8B" w:rsidRDefault="006D15F7" w:rsidP="00641270">
      <w:pPr>
        <w:pStyle w:val="ctablespace"/>
      </w:pPr>
    </w:p>
    <w:tbl>
      <w:tblPr>
        <w:tblW w:w="0" w:type="auto"/>
        <w:tblLayout w:type="fixed"/>
        <w:tblLook w:val="0000" w:firstRow="0" w:lastRow="0" w:firstColumn="0" w:lastColumn="0" w:noHBand="0" w:noVBand="0"/>
      </w:tblPr>
      <w:tblGrid>
        <w:gridCol w:w="8122"/>
        <w:gridCol w:w="1238"/>
      </w:tblGrid>
      <w:tr w:rsidR="006D15F7" w:rsidRPr="006B2E8B" w14:paraId="42D43A89" w14:textId="77777777" w:rsidTr="00D62AF5">
        <w:trPr>
          <w:cantSplit/>
        </w:trPr>
        <w:tc>
          <w:tcPr>
            <w:tcW w:w="8122" w:type="dxa"/>
            <w:shd w:val="clear" w:color="auto" w:fill="1D73D6"/>
          </w:tcPr>
          <w:p w14:paraId="55A646E7" w14:textId="77777777" w:rsidR="006D15F7" w:rsidRPr="006B2E8B" w:rsidRDefault="006D15F7">
            <w:pPr>
              <w:pStyle w:val="chead1"/>
            </w:pPr>
            <w:bookmarkStart w:id="185" w:name="_Toc40064439"/>
            <w:bookmarkStart w:id="186" w:name="_Toc202162677"/>
            <w:r w:rsidRPr="006B2E8B">
              <w:t>260.000</w:t>
            </w:r>
            <w:r w:rsidRPr="006B2E8B">
              <w:tab/>
              <w:t>BILLING PROCEDURES</w:t>
            </w:r>
            <w:bookmarkEnd w:id="185"/>
            <w:bookmarkEnd w:id="186"/>
          </w:p>
        </w:tc>
        <w:tc>
          <w:tcPr>
            <w:tcW w:w="1238" w:type="dxa"/>
            <w:shd w:val="clear" w:color="auto" w:fill="1D73D6"/>
          </w:tcPr>
          <w:p w14:paraId="66FAE947" w14:textId="77777777" w:rsidR="006D15F7" w:rsidRPr="006B2E8B" w:rsidRDefault="006D15F7" w:rsidP="006D15F7">
            <w:pPr>
              <w:pStyle w:val="cDate1"/>
            </w:pPr>
            <w:r w:rsidRPr="006B2E8B">
              <w:t>3</w:t>
            </w:r>
          </w:p>
        </w:tc>
      </w:tr>
      <w:tr w:rsidR="003E786A" w:rsidRPr="006B2E8B" w14:paraId="1EFE6973" w14:textId="77777777" w:rsidTr="00E74E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62D66944" w14:textId="77777777" w:rsidR="003E786A" w:rsidRPr="006B2E8B" w:rsidRDefault="003E786A" w:rsidP="003E786A">
            <w:pPr>
              <w:pStyle w:val="chead2"/>
            </w:pPr>
            <w:bookmarkStart w:id="187" w:name="_Toc40064440"/>
            <w:bookmarkStart w:id="188" w:name="_Toc129663018"/>
            <w:bookmarkStart w:id="189" w:name="_Toc202162678"/>
            <w:r w:rsidRPr="006B2E8B">
              <w:t>261.000</w:t>
            </w:r>
            <w:r w:rsidRPr="006B2E8B">
              <w:tab/>
              <w:t>Introduction to Billing</w:t>
            </w:r>
            <w:bookmarkEnd w:id="187"/>
            <w:bookmarkEnd w:id="188"/>
            <w:bookmarkEnd w:id="189"/>
          </w:p>
        </w:tc>
        <w:tc>
          <w:tcPr>
            <w:tcW w:w="1238" w:type="dxa"/>
            <w:tcBorders>
              <w:top w:val="nil"/>
              <w:left w:val="single" w:sz="6" w:space="0" w:color="FFFFFF"/>
              <w:bottom w:val="single" w:sz="6" w:space="0" w:color="FFFFFF"/>
              <w:right w:val="single" w:sz="6" w:space="0" w:color="FFFFFF"/>
            </w:tcBorders>
          </w:tcPr>
          <w:p w14:paraId="56914B31" w14:textId="77777777" w:rsidR="003E786A" w:rsidRPr="006B2E8B" w:rsidRDefault="003E786A" w:rsidP="003E786A">
            <w:pPr>
              <w:pStyle w:val="cDate2"/>
            </w:pPr>
            <w:r w:rsidRPr="006B2E8B">
              <w:t>7-1-20</w:t>
            </w:r>
          </w:p>
        </w:tc>
      </w:tr>
    </w:tbl>
    <w:p w14:paraId="212021AB" w14:textId="77777777" w:rsidR="003E786A" w:rsidRPr="006B2E8B" w:rsidRDefault="003E786A" w:rsidP="00E74E0E">
      <w:pPr>
        <w:pStyle w:val="ctext"/>
      </w:pPr>
      <w:r w:rsidRPr="006B2E8B">
        <w:t xml:space="preserve">Federally </w:t>
      </w:r>
      <w:smartTag w:uri="urn:schemas-microsoft-com:office:smarttags" w:element="place">
        <w:smartTag w:uri="urn:schemas-microsoft-com:office:smarttags" w:element="PlaceName">
          <w:r w:rsidRPr="006B2E8B">
            <w:t>Qualified</w:t>
          </w:r>
        </w:smartTag>
        <w:r w:rsidRPr="006B2E8B">
          <w:t xml:space="preserve"> </w:t>
        </w:r>
        <w:smartTag w:uri="urn:schemas-microsoft-com:office:smarttags" w:element="PlaceName">
          <w:r w:rsidRPr="006B2E8B">
            <w:t>Health</w:t>
          </w:r>
        </w:smartTag>
        <w:r w:rsidRPr="006B2E8B">
          <w:t xml:space="preserve"> </w:t>
        </w:r>
        <w:smartTag w:uri="urn:schemas-microsoft-com:office:smarttags" w:element="PlaceType">
          <w:r w:rsidRPr="006B2E8B">
            <w:t>Center</w:t>
          </w:r>
        </w:smartTag>
      </w:smartTag>
      <w:r w:rsidRPr="006B2E8B">
        <w:t xml:space="preserve"> providers use the CMS-1500 form to bill the Arkansas Medicaid Program on paper for services provided to eligible Medicaid beneficiaries. Each claim may contain charges for only one (1) beneficiary.</w:t>
      </w:r>
    </w:p>
    <w:p w14:paraId="68B85C22" w14:textId="77777777" w:rsidR="003E786A" w:rsidRPr="006B2E8B" w:rsidRDefault="003E786A" w:rsidP="00E74E0E">
      <w:pPr>
        <w:pStyle w:val="ctext"/>
      </w:pPr>
      <w:r w:rsidRPr="006B2E8B">
        <w:t>Section III of this manual contains information about available options for electronic claim submission.</w:t>
      </w:r>
    </w:p>
    <w:p w14:paraId="03B37B57" w14:textId="77777777" w:rsidR="003E786A" w:rsidRPr="006B2E8B" w:rsidRDefault="003E786A" w:rsidP="003E786A">
      <w:pPr>
        <w:pStyle w:val="ctext"/>
      </w:pPr>
      <w:r w:rsidRPr="006B2E8B">
        <w:t>For settlement purposes, each of these procedures are considered an encounter.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B9D396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78F7D2B" w14:textId="77777777" w:rsidR="006D15F7" w:rsidRPr="006B2E8B" w:rsidRDefault="006D15F7" w:rsidP="007F1346">
            <w:pPr>
              <w:pStyle w:val="chead2"/>
            </w:pPr>
            <w:bookmarkStart w:id="190" w:name="_Toc40064442"/>
            <w:bookmarkStart w:id="191" w:name="_Toc202162679"/>
            <w:r w:rsidRPr="006B2E8B">
              <w:t>262.000</w:t>
            </w:r>
            <w:r w:rsidRPr="006B2E8B">
              <w:tab/>
              <w:t>CMS-1500 Billing Procedures</w:t>
            </w:r>
            <w:bookmarkEnd w:id="190"/>
            <w:bookmarkEnd w:id="191"/>
            <w:r w:rsidRPr="006B2E8B">
              <w:t xml:space="preserve"> </w:t>
            </w:r>
          </w:p>
        </w:tc>
        <w:tc>
          <w:tcPr>
            <w:tcW w:w="1238" w:type="dxa"/>
            <w:tcBorders>
              <w:top w:val="single" w:sz="6" w:space="0" w:color="FFFFFF"/>
              <w:left w:val="single" w:sz="6" w:space="0" w:color="FFFFFF"/>
              <w:bottom w:val="single" w:sz="6" w:space="0" w:color="FFFFFF"/>
              <w:right w:val="single" w:sz="6" w:space="0" w:color="FFFFFF"/>
            </w:tcBorders>
          </w:tcPr>
          <w:p w14:paraId="76C195D0" w14:textId="77777777" w:rsidR="006D15F7" w:rsidRPr="006B2E8B" w:rsidRDefault="006D15F7">
            <w:pPr>
              <w:pStyle w:val="cDate2"/>
              <w:tabs>
                <w:tab w:val="left" w:pos="1440"/>
              </w:tabs>
            </w:pPr>
          </w:p>
        </w:tc>
      </w:tr>
      <w:tr w:rsidR="006D15F7" w:rsidRPr="006B2E8B" w14:paraId="352550E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9B12E51" w14:textId="77777777" w:rsidR="006D15F7" w:rsidRPr="006B2E8B" w:rsidRDefault="006D15F7" w:rsidP="007F1346">
            <w:pPr>
              <w:pStyle w:val="chead2"/>
            </w:pPr>
            <w:bookmarkStart w:id="192" w:name="_Toc40064443"/>
            <w:bookmarkStart w:id="193" w:name="_Toc202162680"/>
            <w:r w:rsidRPr="006B2E8B">
              <w:t>262.100</w:t>
            </w:r>
            <w:r w:rsidRPr="006B2E8B">
              <w:tab/>
              <w:t>CPT Procedure Codes</w:t>
            </w:r>
            <w:bookmarkEnd w:id="192"/>
            <w:bookmarkEnd w:id="193"/>
            <w:r w:rsidRPr="006B2E8B">
              <w:t xml:space="preserve"> </w:t>
            </w:r>
          </w:p>
        </w:tc>
        <w:tc>
          <w:tcPr>
            <w:tcW w:w="1238" w:type="dxa"/>
            <w:tcBorders>
              <w:top w:val="single" w:sz="6" w:space="0" w:color="FFFFFF"/>
              <w:left w:val="single" w:sz="6" w:space="0" w:color="FFFFFF"/>
              <w:bottom w:val="single" w:sz="6" w:space="0" w:color="FFFFFF"/>
              <w:right w:val="single" w:sz="6" w:space="0" w:color="FFFFFF"/>
            </w:tcBorders>
          </w:tcPr>
          <w:p w14:paraId="7D4AAEEA" w14:textId="77777777" w:rsidR="006D15F7" w:rsidRPr="006B2E8B" w:rsidRDefault="006D15F7">
            <w:pPr>
              <w:pStyle w:val="cDate2"/>
              <w:tabs>
                <w:tab w:val="left" w:pos="1440"/>
              </w:tabs>
            </w:pPr>
          </w:p>
        </w:tc>
      </w:tr>
      <w:tr w:rsidR="000C2B3C" w:rsidRPr="006B2E8B" w14:paraId="628039F6"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739C839A" w14:textId="77777777" w:rsidR="000C2B3C" w:rsidRPr="006B2E8B" w:rsidRDefault="000C2B3C" w:rsidP="00535577">
            <w:pPr>
              <w:pStyle w:val="chead2"/>
            </w:pPr>
            <w:bookmarkStart w:id="194" w:name="_Toc40064444"/>
            <w:bookmarkStart w:id="195" w:name="_Toc475094856"/>
            <w:bookmarkStart w:id="196" w:name="_Toc202162681"/>
            <w:r w:rsidRPr="006B2E8B">
              <w:t>262.110</w:t>
            </w:r>
            <w:r w:rsidRPr="006B2E8B">
              <w:tab/>
              <w:t>FQHC Encounter Service</w:t>
            </w:r>
            <w:bookmarkEnd w:id="194"/>
            <w:bookmarkEnd w:id="195"/>
            <w:bookmarkEnd w:id="196"/>
          </w:p>
        </w:tc>
        <w:tc>
          <w:tcPr>
            <w:tcW w:w="1238" w:type="dxa"/>
            <w:tcBorders>
              <w:top w:val="single" w:sz="6" w:space="0" w:color="FFFFFF"/>
              <w:left w:val="single" w:sz="6" w:space="0" w:color="FFFFFF"/>
              <w:bottom w:val="single" w:sz="6" w:space="0" w:color="FFFFFF"/>
              <w:right w:val="single" w:sz="6" w:space="0" w:color="FFFFFF"/>
            </w:tcBorders>
          </w:tcPr>
          <w:p w14:paraId="5671B02B" w14:textId="77777777" w:rsidR="000C2B3C" w:rsidRPr="006B2E8B" w:rsidRDefault="005B473F" w:rsidP="00535577">
            <w:pPr>
              <w:pStyle w:val="cDate2"/>
            </w:pPr>
            <w:r w:rsidRPr="006B2E8B">
              <w:t>2-1-22</w:t>
            </w:r>
          </w:p>
        </w:tc>
      </w:tr>
    </w:tbl>
    <w:p w14:paraId="6C3C7220" w14:textId="77777777" w:rsidR="005B473F" w:rsidRPr="006B2E8B" w:rsidRDefault="005B473F" w:rsidP="005B473F">
      <w:pPr>
        <w:pStyle w:val="ctext"/>
      </w:pPr>
      <w:r w:rsidRPr="006B2E8B">
        <w:lastRenderedPageBreak/>
        <w:t>FQHCs bill Medicaid for a core services encounter (which includes all services and supplies incident to the encounter) with procedure code, "FQHC Encounter Service.”</w:t>
      </w:r>
    </w:p>
    <w:p w14:paraId="65F314B5" w14:textId="77777777" w:rsidR="005B473F" w:rsidRPr="006B2E8B" w:rsidRDefault="005B473F" w:rsidP="005B473F">
      <w:pPr>
        <w:pStyle w:val="ctext"/>
        <w:rPr>
          <w:rStyle w:val="Hyperlink"/>
        </w:rPr>
      </w:pPr>
      <w:hyperlink r:id="rId37" w:history="1">
        <w:r w:rsidRPr="006B2E8B">
          <w:rPr>
            <w:rStyle w:val="Hyperlink"/>
          </w:rPr>
          <w:t>View or print the procedure codes for Federally Qualified Health Center (FQHC) services.</w:t>
        </w:r>
      </w:hyperlink>
    </w:p>
    <w:p w14:paraId="396E50ED" w14:textId="77777777" w:rsidR="000C2B3C" w:rsidRPr="006B2E8B" w:rsidRDefault="005B473F" w:rsidP="000C2B3C">
      <w:pPr>
        <w:pStyle w:val="ctext"/>
      </w:pPr>
      <w:r w:rsidRPr="006B2E8B">
        <w:t>Use type of service code 9 (paper claims only) with.  Medicaid pays the facility's current established rate for each encounter.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4CA403E2"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58236086" w14:textId="77777777" w:rsidR="000C2B3C" w:rsidRPr="006B2E8B" w:rsidRDefault="000C2B3C" w:rsidP="00535577">
            <w:pPr>
              <w:pStyle w:val="chead2"/>
            </w:pPr>
            <w:bookmarkStart w:id="197" w:name="_Toc40064445"/>
            <w:bookmarkStart w:id="198" w:name="_Toc475094857"/>
            <w:bookmarkStart w:id="199" w:name="_Toc202162682"/>
            <w:r w:rsidRPr="006B2E8B">
              <w:t>262.120</w:t>
            </w:r>
            <w:r w:rsidRPr="006B2E8B">
              <w:tab/>
              <w:t>Telemedicine</w:t>
            </w:r>
            <w:bookmarkEnd w:id="197"/>
            <w:bookmarkEnd w:id="198"/>
            <w:bookmarkEnd w:id="199"/>
          </w:p>
        </w:tc>
        <w:tc>
          <w:tcPr>
            <w:tcW w:w="1238" w:type="dxa"/>
            <w:tcBorders>
              <w:top w:val="single" w:sz="6" w:space="0" w:color="FFFFFF"/>
              <w:left w:val="single" w:sz="6" w:space="0" w:color="FFFFFF"/>
              <w:bottom w:val="single" w:sz="6" w:space="0" w:color="FFFFFF"/>
              <w:right w:val="single" w:sz="6" w:space="0" w:color="FFFFFF"/>
            </w:tcBorders>
          </w:tcPr>
          <w:p w14:paraId="603AD902" w14:textId="77777777" w:rsidR="000C2B3C" w:rsidRPr="006B2E8B" w:rsidRDefault="005B473F" w:rsidP="00535577">
            <w:pPr>
              <w:pStyle w:val="cDate2"/>
            </w:pPr>
            <w:r w:rsidRPr="006B2E8B">
              <w:t>2-1-22</w:t>
            </w:r>
          </w:p>
        </w:tc>
      </w:tr>
    </w:tbl>
    <w:p w14:paraId="4B35CCFE" w14:textId="77777777" w:rsidR="005B473F" w:rsidRPr="006B2E8B" w:rsidRDefault="005B473F" w:rsidP="005B473F">
      <w:pPr>
        <w:pStyle w:val="ctext"/>
      </w:pPr>
      <w:r w:rsidRPr="006B2E8B">
        <w:t>Use procedure code and type of service code Y (paper claims only) to indicate telemedicine charges.</w:t>
      </w:r>
    </w:p>
    <w:p w14:paraId="6A060895" w14:textId="77777777" w:rsidR="005B473F" w:rsidRPr="006B2E8B" w:rsidRDefault="005B473F" w:rsidP="005B473F">
      <w:pPr>
        <w:pStyle w:val="ctext"/>
        <w:rPr>
          <w:rStyle w:val="Hyperlink"/>
        </w:rPr>
      </w:pPr>
      <w:hyperlink r:id="rId38" w:history="1">
        <w:r w:rsidRPr="006B2E8B">
          <w:rPr>
            <w:rStyle w:val="Hyperlink"/>
          </w:rPr>
          <w:t>View or print the procedure codes for Federally Qualified Health Center (FQHC) services.</w:t>
        </w:r>
      </w:hyperlink>
    </w:p>
    <w:p w14:paraId="048433F1" w14:textId="77777777" w:rsidR="000C2B3C" w:rsidRPr="006B2E8B" w:rsidRDefault="005B473F" w:rsidP="000C2B3C">
      <w:pPr>
        <w:pStyle w:val="ctext"/>
      </w:pPr>
      <w:r w:rsidRPr="006B2E8B">
        <w:t>The charge associated with this procedure code should be an amount attributable to the telemedicine service, such as line (or wireless) charges.  Medicaid will deny the charge and capture it in the same manner as with ancillary charges.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090BA8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EC96909" w14:textId="77777777" w:rsidR="006D15F7" w:rsidRPr="006B2E8B" w:rsidRDefault="006D15F7">
            <w:pPr>
              <w:pStyle w:val="chead2"/>
            </w:pPr>
            <w:bookmarkStart w:id="200" w:name="_Toc40064446"/>
            <w:bookmarkStart w:id="201" w:name="_Toc202162683"/>
            <w:r w:rsidRPr="006B2E8B">
              <w:t>262.130</w:t>
            </w:r>
            <w:r w:rsidRPr="006B2E8B">
              <w:tab/>
              <w:t>Obstetric and Gynecologic Encounters</w:t>
            </w:r>
            <w:bookmarkEnd w:id="200"/>
            <w:bookmarkEnd w:id="201"/>
          </w:p>
        </w:tc>
        <w:tc>
          <w:tcPr>
            <w:tcW w:w="1238" w:type="dxa"/>
            <w:tcBorders>
              <w:top w:val="single" w:sz="6" w:space="0" w:color="FFFFFF"/>
              <w:left w:val="single" w:sz="6" w:space="0" w:color="FFFFFF"/>
              <w:bottom w:val="single" w:sz="6" w:space="0" w:color="FFFFFF"/>
              <w:right w:val="single" w:sz="6" w:space="0" w:color="FFFFFF"/>
            </w:tcBorders>
          </w:tcPr>
          <w:p w14:paraId="6FCF58DB" w14:textId="77777777" w:rsidR="006D15F7" w:rsidRPr="006B2E8B" w:rsidRDefault="005B473F">
            <w:pPr>
              <w:pStyle w:val="cDate2"/>
            </w:pPr>
            <w:r w:rsidRPr="006B2E8B">
              <w:t>2-1-22</w:t>
            </w:r>
          </w:p>
        </w:tc>
      </w:tr>
    </w:tbl>
    <w:p w14:paraId="4B5189C4" w14:textId="77777777" w:rsidR="005B473F" w:rsidRPr="006B2E8B" w:rsidRDefault="005B473F" w:rsidP="005B473F">
      <w:pPr>
        <w:pStyle w:val="ctext"/>
      </w:pPr>
      <w:r w:rsidRPr="006B2E8B">
        <w:t>Bill for the following obstetric and gynecologic procedures with the CPT procedure codes indicated and type of service code 2 (paper claims only).</w:t>
      </w:r>
    </w:p>
    <w:p w14:paraId="121EF62E" w14:textId="77777777" w:rsidR="006D15F7" w:rsidRPr="006B2E8B" w:rsidRDefault="005B473F">
      <w:pPr>
        <w:pStyle w:val="ctext"/>
      </w:pPr>
      <w:hyperlink r:id="rId39" w:history="1">
        <w:r w:rsidRPr="006B2E8B">
          <w:rPr>
            <w:rStyle w:val="Hyperlink"/>
          </w:rPr>
          <w:t>View or print the procedure codes for Federally Qualified Health Center (FQHC) services.</w:t>
        </w:r>
      </w:hyperlink>
      <w:r w:rsidRPr="006B2E8B">
        <w:rPr>
          <w:b/>
        </w:rPr>
        <w:t xml:space="preserve"> </w:t>
      </w:r>
      <w:r w:rsidRPr="006B2E8B">
        <w:t>For settlement purposes, each of these procedures is considered an encounter.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C1A2DC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8D6F6B6" w14:textId="77777777" w:rsidR="006D15F7" w:rsidRPr="006B2E8B" w:rsidRDefault="006D15F7">
            <w:pPr>
              <w:pStyle w:val="chead2"/>
            </w:pPr>
            <w:bookmarkStart w:id="202" w:name="_Toc40064447"/>
            <w:bookmarkStart w:id="203" w:name="_Toc202162684"/>
            <w:r w:rsidRPr="006B2E8B">
              <w:t>262.140</w:t>
            </w:r>
            <w:r w:rsidRPr="006B2E8B">
              <w:tab/>
              <w:t>Family Planning</w:t>
            </w:r>
            <w:bookmarkEnd w:id="202"/>
            <w:bookmarkEnd w:id="203"/>
          </w:p>
        </w:tc>
        <w:tc>
          <w:tcPr>
            <w:tcW w:w="1238" w:type="dxa"/>
            <w:tcBorders>
              <w:top w:val="single" w:sz="6" w:space="0" w:color="FFFFFF"/>
              <w:left w:val="single" w:sz="6" w:space="0" w:color="FFFFFF"/>
              <w:bottom w:val="single" w:sz="6" w:space="0" w:color="FFFFFF"/>
              <w:right w:val="single" w:sz="6" w:space="0" w:color="FFFFFF"/>
            </w:tcBorders>
          </w:tcPr>
          <w:p w14:paraId="79C38033" w14:textId="77777777" w:rsidR="006D15F7" w:rsidRPr="006B2E8B" w:rsidRDefault="00263727">
            <w:pPr>
              <w:pStyle w:val="cDate2"/>
            </w:pPr>
            <w:r w:rsidRPr="006B2E8B">
              <w:t>2-1-22</w:t>
            </w:r>
          </w:p>
        </w:tc>
      </w:tr>
    </w:tbl>
    <w:p w14:paraId="735BBBF4" w14:textId="77777777" w:rsidR="006D15F7" w:rsidRPr="006B2E8B" w:rsidRDefault="00263727">
      <w:pPr>
        <w:pStyle w:val="ctext"/>
      </w:pPr>
      <w:r w:rsidRPr="006B2E8B">
        <w:t xml:space="preserve">Bill Medicaid for family planning services with applicable procedure codes listed in Sections </w:t>
      </w:r>
      <w:hyperlink w:anchor="Section262_141" w:history="1">
        <w:r w:rsidRPr="006B2E8B">
          <w:rPr>
            <w:rStyle w:val="Hyperlink"/>
          </w:rPr>
          <w:t>262.141</w:t>
        </w:r>
      </w:hyperlink>
      <w:r w:rsidRPr="006B2E8B">
        <w:t xml:space="preserve"> through </w:t>
      </w:r>
      <w:hyperlink w:anchor="Section262_152" w:history="1">
        <w:r w:rsidRPr="006B2E8B">
          <w:rPr>
            <w:rStyle w:val="Hyperlink"/>
          </w:rPr>
          <w:t>262.152</w:t>
        </w:r>
      </w:hyperlink>
      <w:r w:rsidRPr="006B2E8B">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755F13C1"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21467F78" w14:textId="77777777" w:rsidR="000C2B3C" w:rsidRPr="006B2E8B" w:rsidRDefault="000C2B3C" w:rsidP="00535577">
            <w:pPr>
              <w:pStyle w:val="chead2"/>
            </w:pPr>
            <w:bookmarkStart w:id="204" w:name="_Toc40064448"/>
            <w:bookmarkStart w:id="205" w:name="_Toc475094860"/>
            <w:bookmarkStart w:id="206" w:name="Section262_141"/>
            <w:bookmarkStart w:id="207" w:name="_Toc202162685"/>
            <w:r w:rsidRPr="006B2E8B">
              <w:t>262.141</w:t>
            </w:r>
            <w:r w:rsidRPr="006B2E8B">
              <w:tab/>
              <w:t>Family Planning and Post-Sterilization Visits</w:t>
            </w:r>
            <w:bookmarkEnd w:id="204"/>
            <w:bookmarkEnd w:id="205"/>
            <w:bookmarkEnd w:id="206"/>
            <w:bookmarkEnd w:id="207"/>
          </w:p>
        </w:tc>
        <w:tc>
          <w:tcPr>
            <w:tcW w:w="1238" w:type="dxa"/>
            <w:tcBorders>
              <w:top w:val="single" w:sz="6" w:space="0" w:color="FFFFFF"/>
              <w:left w:val="single" w:sz="6" w:space="0" w:color="FFFFFF"/>
              <w:bottom w:val="single" w:sz="6" w:space="0" w:color="FFFFFF"/>
              <w:right w:val="single" w:sz="6" w:space="0" w:color="FFFFFF"/>
            </w:tcBorders>
          </w:tcPr>
          <w:p w14:paraId="2894F3F0" w14:textId="77777777" w:rsidR="000C2B3C" w:rsidRPr="006B2E8B" w:rsidRDefault="00D34E1F" w:rsidP="00535577">
            <w:pPr>
              <w:pStyle w:val="cDate2"/>
            </w:pPr>
            <w:r w:rsidRPr="006B2E8B">
              <w:t>2-1-22</w:t>
            </w:r>
          </w:p>
        </w:tc>
      </w:tr>
    </w:tbl>
    <w:p w14:paraId="5B85BD96" w14:textId="77777777" w:rsidR="00D34E1F" w:rsidRPr="006B2E8B" w:rsidRDefault="00D34E1F" w:rsidP="00D34E1F">
      <w:pPr>
        <w:pStyle w:val="ctext"/>
      </w:pPr>
      <w:r w:rsidRPr="006B2E8B">
        <w:t>Bill for family planning visits and post-sterilization visits with type of service code A (paper billing only) and a family planning diagnosis.</w:t>
      </w:r>
    </w:p>
    <w:p w14:paraId="34C701AE" w14:textId="77777777" w:rsidR="000C2B3C" w:rsidRPr="006B2E8B" w:rsidRDefault="00D34E1F" w:rsidP="00D34E1F">
      <w:pPr>
        <w:pStyle w:val="ctext"/>
      </w:pPr>
      <w:hyperlink r:id="rId40" w:history="1">
        <w:r w:rsidRPr="006B2E8B">
          <w:rPr>
            <w:rStyle w:val="Hyperlink"/>
          </w:rPr>
          <w:t>View or print the procedure codes for Federally Qualified Health Center (FQHC) services.</w:t>
        </w:r>
      </w:hyperlink>
    </w:p>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7"/>
        <w:gridCol w:w="1713"/>
      </w:tblGrid>
      <w:tr w:rsidR="000C2B3C" w:rsidRPr="006B2E8B" w14:paraId="5C53C205" w14:textId="77777777" w:rsidTr="00535577">
        <w:trPr>
          <w:cantSplit/>
        </w:trPr>
        <w:tc>
          <w:tcPr>
            <w:tcW w:w="7647" w:type="dxa"/>
            <w:tcBorders>
              <w:top w:val="single" w:sz="6" w:space="0" w:color="FFFFFF"/>
              <w:left w:val="single" w:sz="6" w:space="0" w:color="FFFFFF"/>
              <w:bottom w:val="single" w:sz="6" w:space="0" w:color="FFFFFF"/>
              <w:right w:val="single" w:sz="6" w:space="0" w:color="FFFFFF"/>
            </w:tcBorders>
          </w:tcPr>
          <w:p w14:paraId="5198300D" w14:textId="77777777" w:rsidR="000C2B3C" w:rsidRPr="006B2E8B" w:rsidRDefault="000C2B3C" w:rsidP="00535577">
            <w:pPr>
              <w:pStyle w:val="chead2"/>
            </w:pPr>
            <w:bookmarkStart w:id="208" w:name="_Toc475094861"/>
            <w:bookmarkStart w:id="209" w:name="_Toc202162686"/>
            <w:r w:rsidRPr="006B2E8B">
              <w:t>262.142</w:t>
            </w:r>
            <w:r w:rsidRPr="006B2E8B">
              <w:tab/>
              <w:t>Family Planning Procedures</w:t>
            </w:r>
            <w:bookmarkEnd w:id="208"/>
            <w:bookmarkEnd w:id="209"/>
          </w:p>
        </w:tc>
        <w:tc>
          <w:tcPr>
            <w:tcW w:w="1713" w:type="dxa"/>
            <w:tcBorders>
              <w:top w:val="single" w:sz="6" w:space="0" w:color="FFFFFF"/>
              <w:left w:val="single" w:sz="6" w:space="0" w:color="FFFFFF"/>
              <w:bottom w:val="single" w:sz="6" w:space="0" w:color="FFFFFF"/>
              <w:right w:val="single" w:sz="6" w:space="0" w:color="FFFFFF"/>
            </w:tcBorders>
          </w:tcPr>
          <w:p w14:paraId="56783345" w14:textId="77777777" w:rsidR="000C2B3C" w:rsidRPr="006B2E8B" w:rsidRDefault="002B0220" w:rsidP="00535577">
            <w:pPr>
              <w:pStyle w:val="cDate2"/>
            </w:pPr>
            <w:r w:rsidRPr="006B2E8B">
              <w:t>2-1-22</w:t>
            </w:r>
          </w:p>
        </w:tc>
      </w:tr>
    </w:tbl>
    <w:p w14:paraId="14471F7F" w14:textId="77777777" w:rsidR="002B0220" w:rsidRPr="006B2E8B" w:rsidRDefault="002B0220" w:rsidP="002B0220">
      <w:pPr>
        <w:pStyle w:val="ctext"/>
      </w:pPr>
      <w:r w:rsidRPr="006B2E8B">
        <w:t>Bill for family planning procedures with a type of service code A (paper billing only) and a family planning diagnosis.</w:t>
      </w:r>
    </w:p>
    <w:p w14:paraId="07901146" w14:textId="77777777" w:rsidR="000C2B3C" w:rsidRPr="006B2E8B" w:rsidRDefault="002B0220" w:rsidP="002B0220">
      <w:pPr>
        <w:pStyle w:val="ctext"/>
      </w:pPr>
      <w:hyperlink r:id="rId41" w:history="1">
        <w:r w:rsidRPr="006B2E8B">
          <w:rPr>
            <w:rStyle w:val="Hyperlink"/>
          </w:rPr>
          <w:t>View or print the procedure codes for Federally Qualified Health Center (FQHC)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6788DF27"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3CF35E81" w14:textId="77777777" w:rsidR="000C2B3C" w:rsidRPr="006B2E8B" w:rsidRDefault="000C2B3C" w:rsidP="00535577">
            <w:pPr>
              <w:pStyle w:val="chead2"/>
            </w:pPr>
            <w:bookmarkStart w:id="210" w:name="_Toc202162687"/>
            <w:r w:rsidRPr="006B2E8B">
              <w:t>262.143</w:t>
            </w:r>
            <w:r w:rsidRPr="006B2E8B">
              <w:tab/>
              <w:t>Contraceptives</w:t>
            </w:r>
            <w:bookmarkEnd w:id="210"/>
          </w:p>
        </w:tc>
        <w:tc>
          <w:tcPr>
            <w:tcW w:w="1238" w:type="dxa"/>
            <w:tcBorders>
              <w:top w:val="single" w:sz="6" w:space="0" w:color="FFFFFF"/>
              <w:left w:val="single" w:sz="6" w:space="0" w:color="FFFFFF"/>
              <w:bottom w:val="single" w:sz="6" w:space="0" w:color="FFFFFF"/>
              <w:right w:val="single" w:sz="6" w:space="0" w:color="FFFFFF"/>
            </w:tcBorders>
          </w:tcPr>
          <w:p w14:paraId="5F7D5DEB" w14:textId="77777777" w:rsidR="000C2B3C" w:rsidRPr="006B2E8B" w:rsidRDefault="002B0220" w:rsidP="00535577">
            <w:pPr>
              <w:pStyle w:val="cDate2"/>
            </w:pPr>
            <w:r w:rsidRPr="006B2E8B">
              <w:t>2-1-22</w:t>
            </w:r>
          </w:p>
        </w:tc>
      </w:tr>
    </w:tbl>
    <w:p w14:paraId="08E5D2C2" w14:textId="77777777" w:rsidR="002B0220" w:rsidRPr="006B2E8B" w:rsidRDefault="002B0220" w:rsidP="002B0220">
      <w:pPr>
        <w:pStyle w:val="ctext"/>
      </w:pPr>
      <w:r w:rsidRPr="006B2E8B">
        <w:t>Bill for contraceptives with type of service code A (paper claims only) and a family planning diagnosis.</w:t>
      </w:r>
    </w:p>
    <w:p w14:paraId="73D30C0E" w14:textId="77777777" w:rsidR="000C2B3C" w:rsidRPr="006B2E8B" w:rsidRDefault="002B0220" w:rsidP="002B0220">
      <w:pPr>
        <w:pStyle w:val="ctext"/>
      </w:pPr>
      <w:hyperlink r:id="rId42" w:history="1">
        <w:r w:rsidRPr="006B2E8B">
          <w:rPr>
            <w:rStyle w:val="Hyperlink"/>
          </w:rPr>
          <w:t>View or print the procedure codes for Federally Qualified Health Center (FQHC)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6864A090"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02825C0B" w14:textId="77777777" w:rsidR="000C2B3C" w:rsidRPr="006B2E8B" w:rsidRDefault="000C2B3C" w:rsidP="00535577">
            <w:pPr>
              <w:pStyle w:val="chead2"/>
            </w:pPr>
            <w:bookmarkStart w:id="211" w:name="_Toc475094863"/>
            <w:bookmarkStart w:id="212" w:name="_Toc202162688"/>
            <w:r w:rsidRPr="006B2E8B">
              <w:t>262.144</w:t>
            </w:r>
            <w:r w:rsidRPr="006B2E8B">
              <w:tab/>
              <w:t>Contraceptive Injections—Depo-Provera</w:t>
            </w:r>
            <w:bookmarkEnd w:id="211"/>
            <w:bookmarkEnd w:id="212"/>
          </w:p>
        </w:tc>
        <w:tc>
          <w:tcPr>
            <w:tcW w:w="1238" w:type="dxa"/>
            <w:tcBorders>
              <w:top w:val="single" w:sz="6" w:space="0" w:color="FFFFFF"/>
              <w:left w:val="single" w:sz="6" w:space="0" w:color="FFFFFF"/>
              <w:bottom w:val="single" w:sz="6" w:space="0" w:color="FFFFFF"/>
              <w:right w:val="single" w:sz="6" w:space="0" w:color="FFFFFF"/>
            </w:tcBorders>
          </w:tcPr>
          <w:p w14:paraId="5E11B549" w14:textId="77777777" w:rsidR="000C2B3C" w:rsidRPr="006B2E8B" w:rsidRDefault="002B0220" w:rsidP="00535577">
            <w:pPr>
              <w:pStyle w:val="cDate2"/>
            </w:pPr>
            <w:r w:rsidRPr="006B2E8B">
              <w:t>2-1-22</w:t>
            </w:r>
          </w:p>
        </w:tc>
      </w:tr>
    </w:tbl>
    <w:p w14:paraId="7770AC7F" w14:textId="77777777" w:rsidR="000C2B3C" w:rsidRPr="006B2E8B" w:rsidRDefault="002B0220" w:rsidP="002B0220">
      <w:pPr>
        <w:pStyle w:val="ctext"/>
      </w:pPr>
      <w:hyperlink r:id="rId43" w:history="1">
        <w:r w:rsidRPr="006B2E8B">
          <w:rPr>
            <w:rStyle w:val="Hyperlink"/>
          </w:rPr>
          <w:t>View or print the procedure codes for Federally Qualified Health Center (FQHC)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50513C5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8966B77" w14:textId="77777777" w:rsidR="006D15F7" w:rsidRPr="006B2E8B" w:rsidRDefault="006D15F7">
            <w:pPr>
              <w:pStyle w:val="chead2"/>
            </w:pPr>
            <w:bookmarkStart w:id="213" w:name="_Toc40064450"/>
            <w:bookmarkStart w:id="214" w:name="_Toc202162689"/>
            <w:r w:rsidRPr="006B2E8B">
              <w:t>262.150</w:t>
            </w:r>
            <w:r w:rsidRPr="006B2E8B">
              <w:tab/>
              <w:t>Family Planning Laboratory Procedures</w:t>
            </w:r>
            <w:bookmarkEnd w:id="213"/>
            <w:bookmarkEnd w:id="214"/>
          </w:p>
        </w:tc>
        <w:tc>
          <w:tcPr>
            <w:tcW w:w="1238" w:type="dxa"/>
            <w:tcBorders>
              <w:top w:val="single" w:sz="6" w:space="0" w:color="FFFFFF"/>
              <w:left w:val="single" w:sz="6" w:space="0" w:color="FFFFFF"/>
              <w:bottom w:val="single" w:sz="6" w:space="0" w:color="FFFFFF"/>
              <w:right w:val="single" w:sz="6" w:space="0" w:color="FFFFFF"/>
            </w:tcBorders>
          </w:tcPr>
          <w:p w14:paraId="7DA57A49" w14:textId="77777777" w:rsidR="006D15F7" w:rsidRPr="006B2E8B" w:rsidRDefault="006D15F7">
            <w:pPr>
              <w:pStyle w:val="cDate2"/>
            </w:pPr>
          </w:p>
        </w:tc>
      </w:tr>
    </w:tbl>
    <w:p w14:paraId="57853005" w14:textId="77777777" w:rsidR="006D15F7" w:rsidRPr="006B2E8B" w:rsidRDefault="006D15F7" w:rsidP="0064127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435554C6"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2B901C2A" w14:textId="77777777" w:rsidR="000C2B3C" w:rsidRPr="006B2E8B" w:rsidRDefault="000C2B3C" w:rsidP="00535577">
            <w:pPr>
              <w:pStyle w:val="chead2"/>
            </w:pPr>
            <w:bookmarkStart w:id="215" w:name="_Toc202162690"/>
            <w:r w:rsidRPr="006B2E8B">
              <w:lastRenderedPageBreak/>
              <w:t>262.151</w:t>
            </w:r>
            <w:r w:rsidRPr="006B2E8B">
              <w:tab/>
              <w:t>Local Procedure Codes</w:t>
            </w:r>
            <w:bookmarkEnd w:id="215"/>
          </w:p>
        </w:tc>
        <w:tc>
          <w:tcPr>
            <w:tcW w:w="1238" w:type="dxa"/>
            <w:tcBorders>
              <w:top w:val="single" w:sz="6" w:space="0" w:color="FFFFFF"/>
              <w:left w:val="single" w:sz="6" w:space="0" w:color="FFFFFF"/>
              <w:bottom w:val="single" w:sz="6" w:space="0" w:color="FFFFFF"/>
              <w:right w:val="single" w:sz="6" w:space="0" w:color="FFFFFF"/>
            </w:tcBorders>
          </w:tcPr>
          <w:p w14:paraId="529543C2" w14:textId="77777777" w:rsidR="000C2B3C" w:rsidRPr="006B2E8B" w:rsidRDefault="006B4565" w:rsidP="00535577">
            <w:pPr>
              <w:pStyle w:val="cDate2"/>
            </w:pPr>
            <w:r w:rsidRPr="006B2E8B">
              <w:t>2-1-22</w:t>
            </w:r>
          </w:p>
        </w:tc>
      </w:tr>
    </w:tbl>
    <w:p w14:paraId="3BA20DF7" w14:textId="77777777" w:rsidR="00781AF0" w:rsidRPr="006B2E8B" w:rsidRDefault="00781AF0" w:rsidP="00781AF0">
      <w:pPr>
        <w:pStyle w:val="ctext"/>
      </w:pPr>
      <w:r w:rsidRPr="006B2E8B">
        <w:t>Bill for family planning laboratory procedures with type of service code A (paper claims only) and a family planning diagnosis.</w:t>
      </w:r>
    </w:p>
    <w:p w14:paraId="52FE94FF" w14:textId="77777777" w:rsidR="000C2B3C" w:rsidRPr="006B2E8B" w:rsidRDefault="00781AF0" w:rsidP="006B4565">
      <w:pPr>
        <w:pStyle w:val="ctext"/>
      </w:pPr>
      <w:hyperlink r:id="rId44" w:history="1">
        <w:r w:rsidRPr="006B2E8B">
          <w:rPr>
            <w:rStyle w:val="Hyperlink"/>
          </w:rPr>
          <w:t>View or print the procedure codes for Federally Qualified Health Center (FQHC)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C2B3C" w:rsidRPr="006B2E8B" w14:paraId="07DBA833" w14:textId="77777777" w:rsidTr="00535577">
        <w:trPr>
          <w:cantSplit/>
        </w:trPr>
        <w:tc>
          <w:tcPr>
            <w:tcW w:w="8122" w:type="dxa"/>
            <w:tcBorders>
              <w:top w:val="single" w:sz="6" w:space="0" w:color="FFFFFF"/>
              <w:left w:val="single" w:sz="6" w:space="0" w:color="FFFFFF"/>
              <w:bottom w:val="single" w:sz="6" w:space="0" w:color="FFFFFF"/>
              <w:right w:val="single" w:sz="6" w:space="0" w:color="FFFFFF"/>
            </w:tcBorders>
          </w:tcPr>
          <w:p w14:paraId="0BA6D36E" w14:textId="77777777" w:rsidR="000C2B3C" w:rsidRPr="006B2E8B" w:rsidRDefault="000C2B3C" w:rsidP="00535577">
            <w:pPr>
              <w:pStyle w:val="chead2"/>
            </w:pPr>
            <w:bookmarkStart w:id="216" w:name="Section262_152"/>
            <w:bookmarkStart w:id="217" w:name="_Toc202162691"/>
            <w:r w:rsidRPr="006B2E8B">
              <w:t>262.152</w:t>
            </w:r>
            <w:r w:rsidRPr="006B2E8B">
              <w:tab/>
              <w:t>National Procedure Codes</w:t>
            </w:r>
            <w:bookmarkEnd w:id="216"/>
            <w:bookmarkEnd w:id="217"/>
          </w:p>
        </w:tc>
        <w:tc>
          <w:tcPr>
            <w:tcW w:w="1238" w:type="dxa"/>
            <w:tcBorders>
              <w:top w:val="single" w:sz="6" w:space="0" w:color="FFFFFF"/>
              <w:left w:val="single" w:sz="6" w:space="0" w:color="FFFFFF"/>
              <w:bottom w:val="single" w:sz="6" w:space="0" w:color="FFFFFF"/>
              <w:right w:val="single" w:sz="6" w:space="0" w:color="FFFFFF"/>
            </w:tcBorders>
          </w:tcPr>
          <w:p w14:paraId="1A09DFCE" w14:textId="77777777" w:rsidR="000C2B3C" w:rsidRPr="006B2E8B" w:rsidRDefault="00EE2641" w:rsidP="00535577">
            <w:pPr>
              <w:pStyle w:val="cDate2"/>
            </w:pPr>
            <w:r w:rsidRPr="006B2E8B">
              <w:t>2-1-22</w:t>
            </w:r>
          </w:p>
        </w:tc>
      </w:tr>
    </w:tbl>
    <w:p w14:paraId="10D04F26" w14:textId="77777777" w:rsidR="00EE2641" w:rsidRPr="006B2E8B" w:rsidRDefault="00EE2641" w:rsidP="00EE2641">
      <w:pPr>
        <w:pStyle w:val="ctext"/>
      </w:pPr>
      <w:r w:rsidRPr="006B2E8B">
        <w:t>Bill for family planning laboratory procedures with a type of service A (paper claims only) and a family planning diagnosis.</w:t>
      </w:r>
    </w:p>
    <w:p w14:paraId="22791523" w14:textId="77777777" w:rsidR="000C2B3C" w:rsidRPr="006B2E8B" w:rsidRDefault="00EE2641" w:rsidP="00EE2641">
      <w:pPr>
        <w:pStyle w:val="ctext"/>
      </w:pPr>
      <w:hyperlink r:id="rId45" w:history="1">
        <w:r w:rsidRPr="006B2E8B">
          <w:rPr>
            <w:rStyle w:val="Hyperlink"/>
          </w:rPr>
          <w:t>View or print the procedure codes for Federally Qualified Health Center (FQHC)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7655CC7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A2C9943" w14:textId="77777777" w:rsidR="006D15F7" w:rsidRPr="006B2E8B" w:rsidRDefault="006D15F7" w:rsidP="00014A80">
            <w:pPr>
              <w:pStyle w:val="chead2"/>
            </w:pPr>
            <w:bookmarkStart w:id="218" w:name="_Toc40064451"/>
            <w:bookmarkStart w:id="219" w:name="_Toc202162692"/>
            <w:r w:rsidRPr="006B2E8B">
              <w:t>262.160</w:t>
            </w:r>
            <w:r w:rsidRPr="006B2E8B">
              <w:tab/>
              <w:t>Non-Payable and Excluded Procedure Codes</w:t>
            </w:r>
            <w:bookmarkEnd w:id="218"/>
            <w:bookmarkEnd w:id="219"/>
          </w:p>
        </w:tc>
        <w:tc>
          <w:tcPr>
            <w:tcW w:w="1238" w:type="dxa"/>
            <w:tcBorders>
              <w:top w:val="single" w:sz="6" w:space="0" w:color="FFFFFF"/>
              <w:left w:val="single" w:sz="6" w:space="0" w:color="FFFFFF"/>
              <w:bottom w:val="single" w:sz="6" w:space="0" w:color="FFFFFF"/>
              <w:right w:val="single" w:sz="6" w:space="0" w:color="FFFFFF"/>
            </w:tcBorders>
          </w:tcPr>
          <w:p w14:paraId="3C0065FF"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5492C3FB" w14:textId="77777777" w:rsidR="006D15F7" w:rsidRPr="006B2E8B" w:rsidRDefault="006D15F7">
      <w:pPr>
        <w:pStyle w:val="ctext"/>
      </w:pPr>
      <w:r w:rsidRPr="006B2E8B">
        <w:t>FQHC providers may bill Medicaid only with the procedure codes authorized, directly or by reference, in Sections 262.141 through 262.152 above and in subsequent official correspondence from the Arkansas Medicaid Program.  All other procedure codes will be denied as non-payable to FQHCs.  All Medicaid-covered services and supplies not included, directly or by reference, in Sections 262.141 through 262.152 above are incident to FQHC encounters.  The charges for any such services and supplies are to be included in the FQHC's charge for the encounter.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42EE0" w:rsidRPr="006B2E8B" w14:paraId="56116E6E" w14:textId="77777777" w:rsidTr="00190B22">
        <w:trPr>
          <w:cantSplit/>
        </w:trPr>
        <w:tc>
          <w:tcPr>
            <w:tcW w:w="8122" w:type="dxa"/>
            <w:tcBorders>
              <w:top w:val="single" w:sz="6" w:space="0" w:color="FFFFFF"/>
              <w:left w:val="single" w:sz="6" w:space="0" w:color="FFFFFF"/>
              <w:bottom w:val="single" w:sz="6" w:space="0" w:color="FFFFFF"/>
              <w:right w:val="single" w:sz="6" w:space="0" w:color="FFFFFF"/>
            </w:tcBorders>
          </w:tcPr>
          <w:p w14:paraId="1D7555AB" w14:textId="77777777" w:rsidR="00442EE0" w:rsidRPr="006B2E8B" w:rsidRDefault="00442EE0" w:rsidP="00190B22">
            <w:pPr>
              <w:pStyle w:val="chead2"/>
              <w:ind w:left="0" w:firstLine="0"/>
            </w:pPr>
            <w:bookmarkStart w:id="220" w:name="_Toc40064452"/>
            <w:bookmarkStart w:id="221" w:name="_Toc123010173"/>
            <w:bookmarkStart w:id="222" w:name="_Toc202162693"/>
            <w:smartTag w:uri="urn:schemas-microsoft-com:office:smarttags" w:element="address">
              <w:smartTag w:uri="urn:schemas-microsoft-com:office:smarttags" w:element="City">
                <w:r w:rsidRPr="006B2E8B">
                  <w:t>262.200</w:t>
                </w:r>
                <w:r w:rsidRPr="006B2E8B">
                  <w:tab/>
                  <w:t>FQHC National Standard Place</w:t>
                </w:r>
              </w:smartTag>
            </w:smartTag>
            <w:r w:rsidRPr="006B2E8B">
              <w:t xml:space="preserve"> of Service Codes</w:t>
            </w:r>
            <w:bookmarkEnd w:id="220"/>
            <w:bookmarkEnd w:id="221"/>
            <w:bookmarkEnd w:id="222"/>
            <w:r w:rsidRPr="006B2E8B">
              <w:t xml:space="preserve"> </w:t>
            </w:r>
          </w:p>
        </w:tc>
        <w:tc>
          <w:tcPr>
            <w:tcW w:w="1238" w:type="dxa"/>
            <w:tcBorders>
              <w:top w:val="single" w:sz="6" w:space="0" w:color="FFFFFF"/>
              <w:left w:val="single" w:sz="6" w:space="0" w:color="FFFFFF"/>
              <w:bottom w:val="single" w:sz="6" w:space="0" w:color="FFFFFF"/>
              <w:right w:val="single" w:sz="6" w:space="0" w:color="FFFFFF"/>
            </w:tcBorders>
          </w:tcPr>
          <w:p w14:paraId="396440A9" w14:textId="77777777" w:rsidR="00442EE0" w:rsidRPr="006B2E8B" w:rsidRDefault="00442EE0" w:rsidP="00190B22">
            <w:pPr>
              <w:pStyle w:val="cDate2"/>
              <w:tabs>
                <w:tab w:val="left" w:pos="1440"/>
              </w:tabs>
            </w:pPr>
          </w:p>
        </w:tc>
      </w:tr>
      <w:tr w:rsidR="00442EE0" w:rsidRPr="006B2E8B" w14:paraId="2F144118" w14:textId="77777777" w:rsidTr="00190B22">
        <w:trPr>
          <w:cantSplit/>
        </w:trPr>
        <w:tc>
          <w:tcPr>
            <w:tcW w:w="8122" w:type="dxa"/>
            <w:tcBorders>
              <w:top w:val="single" w:sz="6" w:space="0" w:color="FFFFFF"/>
              <w:left w:val="single" w:sz="6" w:space="0" w:color="FFFFFF"/>
              <w:bottom w:val="single" w:sz="6" w:space="0" w:color="FFFFFF"/>
              <w:right w:val="single" w:sz="6" w:space="0" w:color="FFFFFF"/>
            </w:tcBorders>
          </w:tcPr>
          <w:p w14:paraId="75C66666" w14:textId="77777777" w:rsidR="00442EE0" w:rsidRPr="006B2E8B" w:rsidRDefault="00442EE0" w:rsidP="00190B22">
            <w:pPr>
              <w:pStyle w:val="chead2"/>
              <w:ind w:left="0" w:firstLine="0"/>
            </w:pPr>
            <w:bookmarkStart w:id="223" w:name="_Toc123010174"/>
            <w:bookmarkStart w:id="224" w:name="_Toc202162694"/>
            <w:smartTag w:uri="urn:schemas-microsoft-com:office:smarttags" w:element="address">
              <w:smartTag w:uri="urn:schemas-microsoft-com:office:smarttags" w:element="City">
                <w:r w:rsidRPr="006B2E8B">
                  <w:t>262.210</w:t>
                </w:r>
                <w:r w:rsidRPr="006B2E8B">
                  <w:tab/>
                  <w:t>FQHC Place</w:t>
                </w:r>
              </w:smartTag>
            </w:smartTag>
            <w:r w:rsidRPr="006B2E8B">
              <w:t xml:space="preserve"> of Service Codes</w:t>
            </w:r>
            <w:bookmarkEnd w:id="223"/>
            <w:bookmarkEnd w:id="224"/>
            <w:r w:rsidRPr="006B2E8B">
              <w:t xml:space="preserve"> </w:t>
            </w:r>
          </w:p>
        </w:tc>
        <w:tc>
          <w:tcPr>
            <w:tcW w:w="1238" w:type="dxa"/>
            <w:tcBorders>
              <w:top w:val="single" w:sz="6" w:space="0" w:color="FFFFFF"/>
              <w:left w:val="single" w:sz="6" w:space="0" w:color="FFFFFF"/>
              <w:bottom w:val="single" w:sz="6" w:space="0" w:color="FFFFFF"/>
              <w:right w:val="single" w:sz="6" w:space="0" w:color="FFFFFF"/>
            </w:tcBorders>
          </w:tcPr>
          <w:p w14:paraId="57533B3C" w14:textId="77777777" w:rsidR="00442EE0" w:rsidRPr="006B2E8B" w:rsidRDefault="00442EE0" w:rsidP="00190B22">
            <w:pPr>
              <w:pStyle w:val="cDate2"/>
              <w:tabs>
                <w:tab w:val="left" w:pos="1440"/>
              </w:tabs>
            </w:pPr>
            <w:r w:rsidRPr="006B2E8B">
              <w:t>7-1-07</w:t>
            </w:r>
          </w:p>
        </w:tc>
      </w:tr>
    </w:tbl>
    <w:p w14:paraId="3711F675" w14:textId="77777777" w:rsidR="00442EE0" w:rsidRPr="006B2E8B" w:rsidRDefault="00442EE0" w:rsidP="00442EE0">
      <w:pPr>
        <w:pStyle w:val="ctablespace"/>
      </w:pPr>
    </w:p>
    <w:tbl>
      <w:tblPr>
        <w:tblW w:w="8899" w:type="dxa"/>
        <w:tblInd w:w="353"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4449"/>
        <w:gridCol w:w="4450"/>
      </w:tblGrid>
      <w:tr w:rsidR="00442EE0" w:rsidRPr="006B2E8B" w14:paraId="3BAF4D78" w14:textId="77777777" w:rsidTr="00190B22">
        <w:trPr>
          <w:cantSplit/>
          <w:tblHeader/>
        </w:trPr>
        <w:tc>
          <w:tcPr>
            <w:tcW w:w="4449" w:type="dxa"/>
          </w:tcPr>
          <w:p w14:paraId="4728BDF2" w14:textId="77777777" w:rsidR="00442EE0" w:rsidRPr="006B2E8B" w:rsidRDefault="00442EE0" w:rsidP="00190B22">
            <w:pPr>
              <w:pStyle w:val="ctableheading"/>
            </w:pPr>
            <w:r w:rsidRPr="006B2E8B">
              <w:t>Place of Service (POS)</w:t>
            </w:r>
          </w:p>
        </w:tc>
        <w:tc>
          <w:tcPr>
            <w:tcW w:w="4450" w:type="dxa"/>
          </w:tcPr>
          <w:p w14:paraId="010BC5C8" w14:textId="77777777" w:rsidR="00442EE0" w:rsidRPr="006B2E8B" w:rsidRDefault="00442EE0" w:rsidP="00190B22">
            <w:pPr>
              <w:pStyle w:val="ctableheading"/>
            </w:pPr>
            <w:r w:rsidRPr="006B2E8B">
              <w:t xml:space="preserve">National POS Code </w:t>
            </w:r>
          </w:p>
        </w:tc>
      </w:tr>
      <w:tr w:rsidR="00442EE0" w:rsidRPr="006B2E8B" w14:paraId="341615AE" w14:textId="77777777" w:rsidTr="00190B22">
        <w:trPr>
          <w:cantSplit/>
        </w:trPr>
        <w:tc>
          <w:tcPr>
            <w:tcW w:w="4449" w:type="dxa"/>
          </w:tcPr>
          <w:p w14:paraId="4F3BB6D5" w14:textId="77777777" w:rsidR="00442EE0" w:rsidRPr="006B2E8B" w:rsidRDefault="00442EE0" w:rsidP="00190B22">
            <w:pPr>
              <w:pStyle w:val="cTableText"/>
            </w:pPr>
            <w:smartTag w:uri="urn:schemas-microsoft-com:office:smarttags" w:element="place">
              <w:smartTag w:uri="urn:schemas-microsoft-com:office:smarttags" w:element="PlaceName">
                <w:r w:rsidRPr="006B2E8B">
                  <w:t>Inpatient</w:t>
                </w:r>
              </w:smartTag>
              <w:r w:rsidRPr="006B2E8B">
                <w:t xml:space="preserve"> </w:t>
              </w:r>
              <w:smartTag w:uri="urn:schemas-microsoft-com:office:smarttags" w:element="PlaceType">
                <w:r w:rsidRPr="006B2E8B">
                  <w:t>Hospital</w:t>
                </w:r>
              </w:smartTag>
            </w:smartTag>
          </w:p>
        </w:tc>
        <w:tc>
          <w:tcPr>
            <w:tcW w:w="4450" w:type="dxa"/>
          </w:tcPr>
          <w:p w14:paraId="40E1DE33" w14:textId="77777777" w:rsidR="00442EE0" w:rsidRPr="006B2E8B" w:rsidRDefault="00442EE0" w:rsidP="00190B22">
            <w:pPr>
              <w:pStyle w:val="cTableText"/>
            </w:pPr>
            <w:r w:rsidRPr="006B2E8B">
              <w:t>21</w:t>
            </w:r>
          </w:p>
        </w:tc>
      </w:tr>
      <w:tr w:rsidR="00442EE0" w:rsidRPr="006B2E8B" w14:paraId="0211F9B3" w14:textId="77777777" w:rsidTr="00190B22">
        <w:trPr>
          <w:cantSplit/>
        </w:trPr>
        <w:tc>
          <w:tcPr>
            <w:tcW w:w="4449" w:type="dxa"/>
          </w:tcPr>
          <w:p w14:paraId="4E4A952B" w14:textId="77777777" w:rsidR="00442EE0" w:rsidRPr="006B2E8B" w:rsidRDefault="00442EE0" w:rsidP="00190B22">
            <w:pPr>
              <w:pStyle w:val="cTableText"/>
            </w:pPr>
            <w:smartTag w:uri="urn:schemas-microsoft-com:office:smarttags" w:element="place">
              <w:smartTag w:uri="urn:schemas-microsoft-com:office:smarttags" w:element="PlaceName">
                <w:r w:rsidRPr="006B2E8B">
                  <w:t>Outpatient</w:t>
                </w:r>
              </w:smartTag>
              <w:r w:rsidRPr="006B2E8B">
                <w:t xml:space="preserve"> </w:t>
              </w:r>
              <w:smartTag w:uri="urn:schemas-microsoft-com:office:smarttags" w:element="PlaceType">
                <w:r w:rsidRPr="006B2E8B">
                  <w:t>Hospital</w:t>
                </w:r>
              </w:smartTag>
            </w:smartTag>
          </w:p>
        </w:tc>
        <w:tc>
          <w:tcPr>
            <w:tcW w:w="4450" w:type="dxa"/>
          </w:tcPr>
          <w:p w14:paraId="1E496E1C" w14:textId="77777777" w:rsidR="00442EE0" w:rsidRPr="006B2E8B" w:rsidRDefault="00442EE0" w:rsidP="00190B22">
            <w:pPr>
              <w:pStyle w:val="cTableText"/>
            </w:pPr>
            <w:r w:rsidRPr="006B2E8B">
              <w:t>22</w:t>
            </w:r>
          </w:p>
        </w:tc>
      </w:tr>
      <w:tr w:rsidR="00442EE0" w:rsidRPr="006B2E8B" w14:paraId="507BEE25" w14:textId="77777777" w:rsidTr="00190B22">
        <w:trPr>
          <w:cantSplit/>
        </w:trPr>
        <w:tc>
          <w:tcPr>
            <w:tcW w:w="4449" w:type="dxa"/>
          </w:tcPr>
          <w:p w14:paraId="06A4ED1F" w14:textId="77777777" w:rsidR="00442EE0" w:rsidRPr="006B2E8B" w:rsidDel="00253CFA" w:rsidRDefault="00442EE0" w:rsidP="00190B22">
            <w:pPr>
              <w:pStyle w:val="cTableText"/>
            </w:pPr>
            <w:r w:rsidRPr="006B2E8B">
              <w:t>Emergency Room - Hospital</w:t>
            </w:r>
          </w:p>
        </w:tc>
        <w:tc>
          <w:tcPr>
            <w:tcW w:w="4450" w:type="dxa"/>
          </w:tcPr>
          <w:p w14:paraId="00296E5F" w14:textId="77777777" w:rsidR="00442EE0" w:rsidRPr="006B2E8B" w:rsidRDefault="00442EE0" w:rsidP="00190B22">
            <w:pPr>
              <w:pStyle w:val="cTableText"/>
            </w:pPr>
            <w:r w:rsidRPr="006B2E8B">
              <w:t>23</w:t>
            </w:r>
          </w:p>
        </w:tc>
      </w:tr>
      <w:tr w:rsidR="00442EE0" w:rsidRPr="006B2E8B" w14:paraId="390A40C6" w14:textId="77777777" w:rsidTr="00190B22">
        <w:trPr>
          <w:cantSplit/>
        </w:trPr>
        <w:tc>
          <w:tcPr>
            <w:tcW w:w="4449" w:type="dxa"/>
          </w:tcPr>
          <w:p w14:paraId="3D6BE281" w14:textId="77777777" w:rsidR="00442EE0" w:rsidRPr="006B2E8B" w:rsidRDefault="00442EE0" w:rsidP="00190B22">
            <w:pPr>
              <w:pStyle w:val="cTableText"/>
            </w:pPr>
            <w:r w:rsidRPr="006B2E8B">
              <w:t>Patient’s Home</w:t>
            </w:r>
          </w:p>
        </w:tc>
        <w:tc>
          <w:tcPr>
            <w:tcW w:w="4450" w:type="dxa"/>
          </w:tcPr>
          <w:p w14:paraId="6EDD40C2" w14:textId="77777777" w:rsidR="00442EE0" w:rsidRPr="006B2E8B" w:rsidRDefault="00442EE0" w:rsidP="00190B22">
            <w:pPr>
              <w:pStyle w:val="cTableText"/>
            </w:pPr>
            <w:r w:rsidRPr="006B2E8B">
              <w:t>12</w:t>
            </w:r>
          </w:p>
        </w:tc>
      </w:tr>
      <w:tr w:rsidR="00442EE0" w:rsidRPr="006B2E8B" w14:paraId="3D23E88A" w14:textId="77777777" w:rsidTr="00190B22">
        <w:trPr>
          <w:cantSplit/>
        </w:trPr>
        <w:tc>
          <w:tcPr>
            <w:tcW w:w="4449" w:type="dxa"/>
          </w:tcPr>
          <w:p w14:paraId="5963ADCA" w14:textId="77777777" w:rsidR="00442EE0" w:rsidRPr="006B2E8B" w:rsidRDefault="00442EE0" w:rsidP="00190B22">
            <w:pPr>
              <w:pStyle w:val="cTableText"/>
            </w:pPr>
            <w:r w:rsidRPr="006B2E8B">
              <w:t>Nursing Facility</w:t>
            </w:r>
          </w:p>
        </w:tc>
        <w:tc>
          <w:tcPr>
            <w:tcW w:w="4450" w:type="dxa"/>
          </w:tcPr>
          <w:p w14:paraId="600F119F" w14:textId="77777777" w:rsidR="00442EE0" w:rsidRPr="006B2E8B" w:rsidRDefault="00442EE0" w:rsidP="00190B22">
            <w:pPr>
              <w:pStyle w:val="cTableText"/>
            </w:pPr>
            <w:r w:rsidRPr="006B2E8B">
              <w:t>32</w:t>
            </w:r>
          </w:p>
        </w:tc>
      </w:tr>
      <w:tr w:rsidR="00442EE0" w:rsidRPr="006B2E8B" w14:paraId="55091652" w14:textId="77777777" w:rsidTr="00190B22">
        <w:trPr>
          <w:cantSplit/>
        </w:trPr>
        <w:tc>
          <w:tcPr>
            <w:tcW w:w="4449" w:type="dxa"/>
          </w:tcPr>
          <w:p w14:paraId="259CBF91" w14:textId="77777777" w:rsidR="00442EE0" w:rsidRPr="006B2E8B" w:rsidRDefault="00442EE0" w:rsidP="00190B22">
            <w:pPr>
              <w:pStyle w:val="cTableText"/>
            </w:pPr>
            <w:r w:rsidRPr="006B2E8B">
              <w:t>Skilled Nursing Facility</w:t>
            </w:r>
          </w:p>
        </w:tc>
        <w:tc>
          <w:tcPr>
            <w:tcW w:w="4450" w:type="dxa"/>
          </w:tcPr>
          <w:p w14:paraId="096DD174" w14:textId="77777777" w:rsidR="00442EE0" w:rsidRPr="006B2E8B" w:rsidRDefault="00442EE0" w:rsidP="00190B22">
            <w:pPr>
              <w:pStyle w:val="cTableText"/>
            </w:pPr>
            <w:r w:rsidRPr="006B2E8B">
              <w:t>31</w:t>
            </w:r>
          </w:p>
        </w:tc>
      </w:tr>
      <w:tr w:rsidR="00442EE0" w:rsidRPr="006B2E8B" w14:paraId="7D061E03" w14:textId="77777777" w:rsidTr="00190B22">
        <w:trPr>
          <w:cantSplit/>
        </w:trPr>
        <w:tc>
          <w:tcPr>
            <w:tcW w:w="4449" w:type="dxa"/>
          </w:tcPr>
          <w:p w14:paraId="58AA370E" w14:textId="77777777" w:rsidR="00442EE0" w:rsidRPr="006B2E8B" w:rsidRDefault="00442EE0" w:rsidP="00190B22">
            <w:pPr>
              <w:pStyle w:val="cTableText"/>
            </w:pPr>
            <w:r w:rsidRPr="006B2E8B">
              <w:t>Ambulance</w:t>
            </w:r>
          </w:p>
        </w:tc>
        <w:tc>
          <w:tcPr>
            <w:tcW w:w="4450" w:type="dxa"/>
          </w:tcPr>
          <w:p w14:paraId="150F0A2D" w14:textId="77777777" w:rsidR="00442EE0" w:rsidRPr="006B2E8B" w:rsidRDefault="00442EE0" w:rsidP="00190B22">
            <w:pPr>
              <w:pStyle w:val="cTableText"/>
            </w:pPr>
            <w:r w:rsidRPr="006B2E8B">
              <w:t>41</w:t>
            </w:r>
          </w:p>
        </w:tc>
      </w:tr>
      <w:tr w:rsidR="00442EE0" w:rsidRPr="006B2E8B" w14:paraId="0241D21E" w14:textId="77777777" w:rsidTr="00190B22">
        <w:trPr>
          <w:cantSplit/>
        </w:trPr>
        <w:tc>
          <w:tcPr>
            <w:tcW w:w="4449" w:type="dxa"/>
          </w:tcPr>
          <w:p w14:paraId="6EBA45BC" w14:textId="77777777" w:rsidR="00442EE0" w:rsidRPr="006B2E8B" w:rsidRDefault="00442EE0" w:rsidP="00190B22">
            <w:pPr>
              <w:pStyle w:val="cTableText"/>
            </w:pPr>
            <w:r w:rsidRPr="006B2E8B">
              <w:t>Other Locations</w:t>
            </w:r>
          </w:p>
        </w:tc>
        <w:tc>
          <w:tcPr>
            <w:tcW w:w="4450" w:type="dxa"/>
          </w:tcPr>
          <w:p w14:paraId="7B1225D2" w14:textId="77777777" w:rsidR="00442EE0" w:rsidRPr="006B2E8B" w:rsidRDefault="00442EE0" w:rsidP="00190B22">
            <w:pPr>
              <w:pStyle w:val="cTableText"/>
            </w:pPr>
            <w:r w:rsidRPr="006B2E8B">
              <w:t>99</w:t>
            </w:r>
          </w:p>
        </w:tc>
      </w:tr>
      <w:tr w:rsidR="00442EE0" w:rsidRPr="006B2E8B" w14:paraId="23FFFCB2" w14:textId="77777777" w:rsidTr="00190B22">
        <w:trPr>
          <w:cantSplit/>
        </w:trPr>
        <w:tc>
          <w:tcPr>
            <w:tcW w:w="4449" w:type="dxa"/>
          </w:tcPr>
          <w:p w14:paraId="322680DF" w14:textId="77777777" w:rsidR="00442EE0" w:rsidRPr="006B2E8B" w:rsidRDefault="00442EE0" w:rsidP="00190B22">
            <w:pPr>
              <w:pStyle w:val="cTableText"/>
            </w:pPr>
            <w:r w:rsidRPr="006B2E8B">
              <w:t>Ambulatory Surgical Center</w:t>
            </w:r>
          </w:p>
        </w:tc>
        <w:tc>
          <w:tcPr>
            <w:tcW w:w="4450" w:type="dxa"/>
          </w:tcPr>
          <w:p w14:paraId="0A2AB8CB" w14:textId="77777777" w:rsidR="00442EE0" w:rsidRPr="006B2E8B" w:rsidRDefault="00442EE0" w:rsidP="00190B22">
            <w:pPr>
              <w:pStyle w:val="cTableText"/>
            </w:pPr>
            <w:r w:rsidRPr="006B2E8B">
              <w:t>24</w:t>
            </w:r>
          </w:p>
        </w:tc>
      </w:tr>
      <w:tr w:rsidR="00442EE0" w:rsidRPr="006B2E8B" w14:paraId="640F7683" w14:textId="77777777" w:rsidTr="00190B22">
        <w:trPr>
          <w:cantSplit/>
        </w:trPr>
        <w:tc>
          <w:tcPr>
            <w:tcW w:w="4449" w:type="dxa"/>
          </w:tcPr>
          <w:p w14:paraId="2E8DEDF1" w14:textId="77777777" w:rsidR="00442EE0" w:rsidRPr="006B2E8B" w:rsidRDefault="00442EE0" w:rsidP="00190B22">
            <w:pPr>
              <w:pStyle w:val="cTableText"/>
            </w:pPr>
            <w:r w:rsidRPr="006B2E8B">
              <w:t xml:space="preserve">Federally Qualified </w:t>
            </w:r>
            <w:smartTag w:uri="urn:schemas-microsoft-com:office:smarttags" w:element="place">
              <w:smartTag w:uri="urn:schemas-microsoft-com:office:smarttags" w:element="PlaceName">
                <w:r w:rsidRPr="006B2E8B">
                  <w:t>Health</w:t>
                </w:r>
              </w:smartTag>
              <w:r w:rsidRPr="006B2E8B">
                <w:t xml:space="preserve"> </w:t>
              </w:r>
              <w:smartTag w:uri="urn:schemas-microsoft-com:office:smarttags" w:element="PlaceType">
                <w:r w:rsidRPr="006B2E8B">
                  <w:t>Center</w:t>
                </w:r>
              </w:smartTag>
            </w:smartTag>
            <w:r w:rsidRPr="006B2E8B">
              <w:t xml:space="preserve"> (FQHC)</w:t>
            </w:r>
          </w:p>
        </w:tc>
        <w:tc>
          <w:tcPr>
            <w:tcW w:w="4450" w:type="dxa"/>
          </w:tcPr>
          <w:p w14:paraId="15EDEFA6" w14:textId="77777777" w:rsidR="00442EE0" w:rsidRPr="006B2E8B" w:rsidRDefault="00442EE0" w:rsidP="00190B22">
            <w:pPr>
              <w:pStyle w:val="cTableText"/>
            </w:pPr>
            <w:r w:rsidRPr="006B2E8B">
              <w:t>50</w:t>
            </w:r>
          </w:p>
        </w:tc>
      </w:tr>
      <w:tr w:rsidR="00442EE0" w:rsidRPr="006B2E8B" w14:paraId="1E384817" w14:textId="77777777" w:rsidTr="00190B22">
        <w:trPr>
          <w:cantSplit/>
        </w:trPr>
        <w:tc>
          <w:tcPr>
            <w:tcW w:w="4449" w:type="dxa"/>
          </w:tcPr>
          <w:p w14:paraId="40427D2C" w14:textId="77777777" w:rsidR="00442EE0" w:rsidRPr="006B2E8B" w:rsidRDefault="00442EE0" w:rsidP="00190B22">
            <w:pPr>
              <w:pStyle w:val="cTableText"/>
            </w:pPr>
            <w:r w:rsidRPr="006B2E8B">
              <w:t>Inpatient Psychiatric Facility</w:t>
            </w:r>
          </w:p>
        </w:tc>
        <w:tc>
          <w:tcPr>
            <w:tcW w:w="4450" w:type="dxa"/>
          </w:tcPr>
          <w:p w14:paraId="51C8C4F2" w14:textId="77777777" w:rsidR="00442EE0" w:rsidRPr="006B2E8B" w:rsidRDefault="00442EE0" w:rsidP="00190B22">
            <w:pPr>
              <w:pStyle w:val="cTableText"/>
            </w:pPr>
            <w:r w:rsidRPr="006B2E8B">
              <w:t>51</w:t>
            </w:r>
          </w:p>
        </w:tc>
      </w:tr>
    </w:tbl>
    <w:p w14:paraId="70325B77" w14:textId="77777777" w:rsidR="00442EE0" w:rsidRPr="006B2E8B" w:rsidRDefault="00442EE0" w:rsidP="00442EE0">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0316B" w:rsidRPr="006B2E8B" w14:paraId="4EC72DAA" w14:textId="77777777" w:rsidTr="00C931DF">
        <w:trPr>
          <w:cantSplit/>
        </w:trPr>
        <w:tc>
          <w:tcPr>
            <w:tcW w:w="8122" w:type="dxa"/>
            <w:tcBorders>
              <w:top w:val="single" w:sz="6" w:space="0" w:color="FFFFFF"/>
              <w:left w:val="single" w:sz="6" w:space="0" w:color="FFFFFF"/>
              <w:bottom w:val="single" w:sz="6" w:space="0" w:color="FFFFFF"/>
              <w:right w:val="single" w:sz="6" w:space="0" w:color="FFFFFF"/>
            </w:tcBorders>
          </w:tcPr>
          <w:p w14:paraId="56EBDE83" w14:textId="77777777" w:rsidR="0040316B" w:rsidRPr="006B2E8B" w:rsidRDefault="0040316B" w:rsidP="00C931DF">
            <w:pPr>
              <w:pStyle w:val="chead2"/>
            </w:pPr>
            <w:bookmarkStart w:id="225" w:name="_Toc129663036"/>
            <w:bookmarkStart w:id="226" w:name="_Toc202162695"/>
            <w:r w:rsidRPr="006B2E8B">
              <w:t>262.300</w:t>
            </w:r>
            <w:r w:rsidRPr="006B2E8B">
              <w:tab/>
              <w:t>Billing Instructions – Paper Only</w:t>
            </w:r>
            <w:bookmarkEnd w:id="225"/>
            <w:bookmarkEnd w:id="226"/>
          </w:p>
        </w:tc>
        <w:tc>
          <w:tcPr>
            <w:tcW w:w="1238" w:type="dxa"/>
            <w:tcBorders>
              <w:top w:val="single" w:sz="6" w:space="0" w:color="FFFFFF"/>
              <w:left w:val="single" w:sz="6" w:space="0" w:color="FFFFFF"/>
              <w:bottom w:val="single" w:sz="6" w:space="0" w:color="FFFFFF"/>
              <w:right w:val="single" w:sz="6" w:space="0" w:color="FFFFFF"/>
            </w:tcBorders>
          </w:tcPr>
          <w:p w14:paraId="31C43237" w14:textId="77777777" w:rsidR="0040316B" w:rsidRPr="006B2E8B" w:rsidRDefault="0040316B" w:rsidP="00C931DF">
            <w:pPr>
              <w:pStyle w:val="cDate2"/>
            </w:pPr>
            <w:r w:rsidRPr="006B2E8B">
              <w:t>11-1-17</w:t>
            </w:r>
          </w:p>
        </w:tc>
      </w:tr>
    </w:tbl>
    <w:p w14:paraId="4A2FA9C0" w14:textId="77777777" w:rsidR="0040316B" w:rsidRPr="006B2E8B" w:rsidRDefault="0040316B" w:rsidP="0040316B">
      <w:pPr>
        <w:pStyle w:val="ctext"/>
      </w:pPr>
      <w:r w:rsidRPr="006B2E8B">
        <w:t xml:space="preserve">Bill Medicaid for professional services </w:t>
      </w:r>
      <w:proofErr w:type="gramStart"/>
      <w:r w:rsidRPr="006B2E8B">
        <w:t>with form</w:t>
      </w:r>
      <w:proofErr w:type="gramEnd"/>
      <w:r w:rsidRPr="006B2E8B">
        <w:t xml:space="preserve"> CMS-1500.  The numbered items in the following instructions correspond to the numbered fields on the claim form.  </w:t>
      </w:r>
      <w:hyperlink r:id="rId46" w:history="1">
        <w:r w:rsidRPr="006B2E8B">
          <w:rPr>
            <w:rStyle w:val="Hyperlink"/>
          </w:rPr>
          <w:t xml:space="preserve">View a sample </w:t>
        </w:r>
        <w:proofErr w:type="gramStart"/>
        <w:r w:rsidRPr="006B2E8B">
          <w:rPr>
            <w:rStyle w:val="Hyperlink"/>
          </w:rPr>
          <w:t>form</w:t>
        </w:r>
        <w:proofErr w:type="gramEnd"/>
        <w:r w:rsidRPr="006B2E8B">
          <w:rPr>
            <w:rStyle w:val="Hyperlink"/>
          </w:rPr>
          <w:t xml:space="preserve"> CMS-1500.</w:t>
        </w:r>
      </w:hyperlink>
    </w:p>
    <w:p w14:paraId="2190002C" w14:textId="77777777" w:rsidR="0040316B" w:rsidRPr="006B2E8B" w:rsidRDefault="0040316B" w:rsidP="0040316B">
      <w:pPr>
        <w:pStyle w:val="ctext"/>
      </w:pPr>
      <w:r w:rsidRPr="006B2E8B">
        <w:lastRenderedPageBreak/>
        <w:t xml:space="preserve">Carefully follow these instructions to help the Arkansas Medicaid fiscal agent efficiently process claims.  Accuracy, completeness, and clarity are essential.  Claims cannot be processed if </w:t>
      </w:r>
      <w:proofErr w:type="gramStart"/>
      <w:r w:rsidRPr="006B2E8B">
        <w:t>necessary</w:t>
      </w:r>
      <w:proofErr w:type="gramEnd"/>
      <w:r w:rsidRPr="006B2E8B">
        <w:t xml:space="preserve"> information is omitted.</w:t>
      </w:r>
    </w:p>
    <w:p w14:paraId="2C634E29" w14:textId="2552CD76" w:rsidR="0040316B" w:rsidRPr="006B2E8B" w:rsidRDefault="0040316B" w:rsidP="0040316B">
      <w:pPr>
        <w:pStyle w:val="ctext"/>
        <w:rPr>
          <w:rStyle w:val="Hyperlink"/>
          <w:b w:val="0"/>
        </w:rPr>
      </w:pPr>
      <w:r w:rsidRPr="006B2E8B">
        <w:t xml:space="preserve">Forward completed claim forms to the Claims Department.  </w:t>
      </w:r>
      <w:hyperlink r:id="rId47" w:history="1">
        <w:r w:rsidRPr="006B2E8B">
          <w:rPr>
            <w:rStyle w:val="Hyperlink"/>
          </w:rPr>
          <w:t>View or print the Claims Department contact information.</w:t>
        </w:r>
      </w:hyperlink>
    </w:p>
    <w:p w14:paraId="78BA3AE1" w14:textId="77777777" w:rsidR="0040316B" w:rsidRPr="006B2E8B" w:rsidRDefault="0040316B" w:rsidP="0040316B">
      <w:pPr>
        <w:pStyle w:val="Note"/>
        <w:ind w:left="1170"/>
      </w:pPr>
      <w:r w:rsidRPr="006B2E8B">
        <w:t>NOTE:</w:t>
      </w:r>
      <w:r w:rsidRPr="006B2E8B">
        <w:tab/>
        <w:t>A provider delivering services without verifying beneficiary eligibility for each date of service does so at the risk of not being reimbursed for the services.</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622"/>
        <w:gridCol w:w="4032"/>
        <w:gridCol w:w="1200"/>
        <w:gridCol w:w="38"/>
        <w:gridCol w:w="7"/>
      </w:tblGrid>
      <w:tr w:rsidR="00AA2CEF" w:rsidRPr="006B2E8B" w14:paraId="3D8F4BC5" w14:textId="77777777" w:rsidTr="008D1BB2">
        <w:trPr>
          <w:gridAfter w:val="1"/>
          <w:wAfter w:w="7" w:type="dxa"/>
          <w:cantSplit/>
        </w:trPr>
        <w:tc>
          <w:tcPr>
            <w:tcW w:w="8122" w:type="dxa"/>
            <w:gridSpan w:val="3"/>
            <w:tcBorders>
              <w:top w:val="single" w:sz="2" w:space="0" w:color="FFFFFF"/>
              <w:left w:val="single" w:sz="2" w:space="0" w:color="FFFFFF"/>
              <w:bottom w:val="single" w:sz="2" w:space="0" w:color="FFFFFF"/>
              <w:right w:val="single" w:sz="6" w:space="0" w:color="FFFFFF"/>
            </w:tcBorders>
          </w:tcPr>
          <w:p w14:paraId="1B71CE97" w14:textId="77777777" w:rsidR="00AA2CEF" w:rsidRPr="006B2E8B" w:rsidRDefault="00AA2CEF" w:rsidP="00AA2CEF">
            <w:pPr>
              <w:pStyle w:val="chead2"/>
            </w:pPr>
            <w:bookmarkStart w:id="227" w:name="_Toc32394969"/>
            <w:bookmarkStart w:id="228" w:name="_Toc50345124"/>
            <w:bookmarkStart w:id="229" w:name="_Toc153763526"/>
            <w:bookmarkStart w:id="230" w:name="_Toc475094871"/>
            <w:bookmarkStart w:id="231" w:name="_Toc202162696"/>
            <w:r w:rsidRPr="006B2E8B">
              <w:t>262.310</w:t>
            </w:r>
            <w:r w:rsidRPr="006B2E8B">
              <w:tab/>
            </w:r>
            <w:bookmarkEnd w:id="227"/>
            <w:r w:rsidRPr="006B2E8B">
              <w:t>Completion of the CMS-1500 Claim Form</w:t>
            </w:r>
            <w:bookmarkEnd w:id="228"/>
            <w:bookmarkEnd w:id="229"/>
            <w:bookmarkEnd w:id="230"/>
            <w:bookmarkEnd w:id="231"/>
          </w:p>
          <w:p w14:paraId="780F2C47" w14:textId="77777777" w:rsidR="00AA2CEF" w:rsidRPr="006B2E8B" w:rsidRDefault="00AA2CEF" w:rsidP="00AA2CEF">
            <w:pPr>
              <w:pStyle w:val="ctablespace"/>
            </w:pPr>
          </w:p>
        </w:tc>
        <w:tc>
          <w:tcPr>
            <w:tcW w:w="1238" w:type="dxa"/>
            <w:gridSpan w:val="2"/>
            <w:tcBorders>
              <w:top w:val="single" w:sz="2" w:space="0" w:color="FFFFFF"/>
              <w:left w:val="single" w:sz="6" w:space="0" w:color="FFFFFF"/>
              <w:bottom w:val="single" w:sz="2" w:space="0" w:color="FFFFFF"/>
              <w:right w:val="single" w:sz="2" w:space="0" w:color="FFFFFF"/>
            </w:tcBorders>
          </w:tcPr>
          <w:p w14:paraId="79228D2F" w14:textId="77777777" w:rsidR="00AA2CEF" w:rsidRPr="006B2E8B" w:rsidRDefault="00AA2CEF" w:rsidP="00AA2CEF">
            <w:pPr>
              <w:pStyle w:val="cDate2"/>
            </w:pPr>
            <w:r w:rsidRPr="006B2E8B">
              <w:t>12-15-14</w:t>
            </w:r>
          </w:p>
        </w:tc>
      </w:tr>
      <w:tr w:rsidR="00AA2CEF" w:rsidRPr="006B2E8B" w14:paraId="49EBC727"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blHeader/>
        </w:trPr>
        <w:tc>
          <w:tcPr>
            <w:tcW w:w="3622" w:type="dxa"/>
            <w:tcBorders>
              <w:top w:val="single" w:sz="6" w:space="0" w:color="000000"/>
              <w:left w:val="nil"/>
              <w:bottom w:val="single" w:sz="6" w:space="0" w:color="000000"/>
              <w:right w:val="nil"/>
            </w:tcBorders>
          </w:tcPr>
          <w:p w14:paraId="3D5A9C9C" w14:textId="77777777" w:rsidR="00AA2CEF" w:rsidRPr="006B2E8B" w:rsidRDefault="00AA2CEF" w:rsidP="00AA2CEF">
            <w:pPr>
              <w:pStyle w:val="ctableheading"/>
            </w:pPr>
            <w:r w:rsidRPr="006B2E8B">
              <w:t>Field Name and Number</w:t>
            </w:r>
          </w:p>
        </w:tc>
        <w:tc>
          <w:tcPr>
            <w:tcW w:w="5232" w:type="dxa"/>
            <w:gridSpan w:val="2"/>
            <w:tcBorders>
              <w:top w:val="single" w:sz="6" w:space="0" w:color="000000"/>
              <w:left w:val="nil"/>
              <w:bottom w:val="single" w:sz="6" w:space="0" w:color="000000"/>
              <w:right w:val="nil"/>
            </w:tcBorders>
          </w:tcPr>
          <w:p w14:paraId="5836D08E" w14:textId="77777777" w:rsidR="00AA2CEF" w:rsidRPr="006B2E8B" w:rsidRDefault="00AA2CEF" w:rsidP="00AA2CEF">
            <w:pPr>
              <w:pStyle w:val="ctableheading"/>
            </w:pPr>
            <w:r w:rsidRPr="006B2E8B">
              <w:t>Instructions for Completion</w:t>
            </w:r>
          </w:p>
        </w:tc>
      </w:tr>
      <w:tr w:rsidR="00AA2CEF" w:rsidRPr="006B2E8B" w14:paraId="7FAEB59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75440EC3" w14:textId="77777777" w:rsidR="00AA2CEF" w:rsidRPr="006B2E8B" w:rsidRDefault="00AA2CEF" w:rsidP="00AA2CEF">
            <w:pPr>
              <w:pStyle w:val="cTableText"/>
            </w:pPr>
            <w:r w:rsidRPr="006B2E8B">
              <w:t>1.</w:t>
            </w:r>
            <w:r w:rsidRPr="006B2E8B">
              <w:tab/>
              <w:t>(type of coverage)</w:t>
            </w:r>
          </w:p>
        </w:tc>
        <w:tc>
          <w:tcPr>
            <w:tcW w:w="5232" w:type="dxa"/>
            <w:gridSpan w:val="2"/>
            <w:tcBorders>
              <w:top w:val="single" w:sz="6" w:space="0" w:color="000000"/>
              <w:left w:val="nil"/>
              <w:bottom w:val="nil"/>
              <w:right w:val="nil"/>
            </w:tcBorders>
          </w:tcPr>
          <w:p w14:paraId="4EF748BF" w14:textId="77777777" w:rsidR="00AA2CEF" w:rsidRPr="006B2E8B" w:rsidRDefault="00AA2CEF" w:rsidP="00AA2CEF">
            <w:pPr>
              <w:pStyle w:val="cTableText"/>
            </w:pPr>
            <w:r w:rsidRPr="006B2E8B">
              <w:t>Not required.</w:t>
            </w:r>
          </w:p>
        </w:tc>
      </w:tr>
      <w:tr w:rsidR="00AA2CEF" w:rsidRPr="006B2E8B" w14:paraId="5E74A8B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6C79DC90" w14:textId="77777777" w:rsidR="00AA2CEF" w:rsidRPr="006B2E8B" w:rsidRDefault="00AA2CEF" w:rsidP="00AA2CEF">
            <w:pPr>
              <w:pStyle w:val="cTableText"/>
            </w:pPr>
            <w:r w:rsidRPr="006B2E8B">
              <w:t>1a.</w:t>
            </w:r>
            <w:r w:rsidRPr="006B2E8B">
              <w:tab/>
              <w:t>INSURED’S I.D. NUMBER (For Program in Item 1)</w:t>
            </w:r>
          </w:p>
        </w:tc>
        <w:tc>
          <w:tcPr>
            <w:tcW w:w="5232" w:type="dxa"/>
            <w:gridSpan w:val="2"/>
            <w:tcBorders>
              <w:top w:val="nil"/>
              <w:left w:val="nil"/>
              <w:bottom w:val="single" w:sz="6" w:space="0" w:color="000000"/>
              <w:right w:val="nil"/>
            </w:tcBorders>
          </w:tcPr>
          <w:p w14:paraId="1A0F77D3" w14:textId="77777777" w:rsidR="00AA2CEF" w:rsidRPr="006B2E8B" w:rsidRDefault="00AA2CEF" w:rsidP="00AA2CEF">
            <w:pPr>
              <w:pStyle w:val="cTableText"/>
            </w:pPr>
            <w:r w:rsidRPr="006B2E8B">
              <w:t xml:space="preserve">Beneficiary’s or participant’s 10-digit Medicaid or </w:t>
            </w:r>
            <w:proofErr w:type="spellStart"/>
            <w:r w:rsidRPr="006B2E8B">
              <w:t>ARKids</w:t>
            </w:r>
            <w:proofErr w:type="spellEnd"/>
            <w:r w:rsidRPr="006B2E8B">
              <w:t xml:space="preserve"> First-A or </w:t>
            </w:r>
            <w:proofErr w:type="spellStart"/>
            <w:r w:rsidRPr="006B2E8B">
              <w:t>ARKids</w:t>
            </w:r>
            <w:proofErr w:type="spellEnd"/>
            <w:r w:rsidRPr="006B2E8B">
              <w:t xml:space="preserve"> First-B identification number.</w:t>
            </w:r>
          </w:p>
        </w:tc>
      </w:tr>
      <w:tr w:rsidR="00AA2CEF" w:rsidRPr="006B2E8B" w14:paraId="589C0FD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3C78CD12" w14:textId="77777777" w:rsidR="00AA2CEF" w:rsidRPr="006B2E8B" w:rsidRDefault="00AA2CEF" w:rsidP="00AA2CEF">
            <w:pPr>
              <w:pStyle w:val="cTableText"/>
            </w:pPr>
            <w:r w:rsidRPr="006B2E8B">
              <w:t>2.</w:t>
            </w:r>
            <w:r w:rsidRPr="006B2E8B">
              <w:tab/>
              <w:t>PATIENT’S NAME (Last Name, First Name, Middle Initial)</w:t>
            </w:r>
          </w:p>
        </w:tc>
        <w:tc>
          <w:tcPr>
            <w:tcW w:w="5232" w:type="dxa"/>
            <w:gridSpan w:val="2"/>
            <w:tcBorders>
              <w:top w:val="single" w:sz="6" w:space="0" w:color="000000"/>
              <w:left w:val="nil"/>
              <w:bottom w:val="single" w:sz="6" w:space="0" w:color="000000"/>
              <w:right w:val="nil"/>
            </w:tcBorders>
          </w:tcPr>
          <w:p w14:paraId="015FF08D" w14:textId="77777777" w:rsidR="00AA2CEF" w:rsidRPr="006B2E8B" w:rsidRDefault="00AA2CEF" w:rsidP="00AA2CEF">
            <w:pPr>
              <w:pStyle w:val="cTableText"/>
            </w:pPr>
            <w:r w:rsidRPr="006B2E8B">
              <w:t>Beneficiary’s or participant’s last name and first name.</w:t>
            </w:r>
          </w:p>
        </w:tc>
      </w:tr>
      <w:tr w:rsidR="00AA2CEF" w:rsidRPr="006B2E8B" w14:paraId="2590A599"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7619656E" w14:textId="77777777" w:rsidR="00AA2CEF" w:rsidRPr="006B2E8B" w:rsidRDefault="00AA2CEF" w:rsidP="00AA2CEF">
            <w:pPr>
              <w:pStyle w:val="cTableText"/>
            </w:pPr>
            <w:r w:rsidRPr="006B2E8B">
              <w:t>3.</w:t>
            </w:r>
            <w:r w:rsidRPr="006B2E8B">
              <w:tab/>
              <w:t xml:space="preserve">PATIENT’S BIRTH DATE </w:t>
            </w:r>
          </w:p>
        </w:tc>
        <w:tc>
          <w:tcPr>
            <w:tcW w:w="5232" w:type="dxa"/>
            <w:gridSpan w:val="2"/>
            <w:tcBorders>
              <w:top w:val="single" w:sz="6" w:space="0" w:color="000000"/>
              <w:left w:val="nil"/>
              <w:bottom w:val="nil"/>
              <w:right w:val="nil"/>
            </w:tcBorders>
          </w:tcPr>
          <w:p w14:paraId="47551197" w14:textId="77777777" w:rsidR="00AA2CEF" w:rsidRPr="006B2E8B" w:rsidRDefault="00AA2CEF" w:rsidP="00AA2CEF">
            <w:pPr>
              <w:pStyle w:val="cTableText"/>
            </w:pPr>
            <w:r w:rsidRPr="006B2E8B">
              <w:t xml:space="preserve">Beneficiary’s or participant’s date of birth </w:t>
            </w:r>
            <w:proofErr w:type="gramStart"/>
            <w:r w:rsidRPr="006B2E8B">
              <w:t>as</w:t>
            </w:r>
            <w:proofErr w:type="gramEnd"/>
            <w:r w:rsidRPr="006B2E8B">
              <w:t xml:space="preserve"> given on the individual’s Medicaid or </w:t>
            </w:r>
            <w:proofErr w:type="spellStart"/>
            <w:r w:rsidRPr="006B2E8B">
              <w:t>ARKids</w:t>
            </w:r>
            <w:proofErr w:type="spellEnd"/>
            <w:r w:rsidRPr="006B2E8B">
              <w:t xml:space="preserve"> First-A or </w:t>
            </w:r>
            <w:proofErr w:type="spellStart"/>
            <w:r w:rsidRPr="006B2E8B">
              <w:t>ARKids</w:t>
            </w:r>
            <w:proofErr w:type="spellEnd"/>
            <w:r w:rsidRPr="006B2E8B">
              <w:t xml:space="preserve"> First-B identification card.  Format: MM/DD/YY.</w:t>
            </w:r>
          </w:p>
        </w:tc>
      </w:tr>
      <w:tr w:rsidR="00AA2CEF" w:rsidRPr="006B2E8B" w14:paraId="4860CC6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392DACF5" w14:textId="77777777" w:rsidR="00AA2CEF" w:rsidRPr="006B2E8B" w:rsidRDefault="00AA2CEF" w:rsidP="00AA2CEF">
            <w:pPr>
              <w:pStyle w:val="cTableText"/>
            </w:pPr>
            <w:r w:rsidRPr="006B2E8B">
              <w:tab/>
              <w:t>SEX</w:t>
            </w:r>
          </w:p>
        </w:tc>
        <w:tc>
          <w:tcPr>
            <w:tcW w:w="5232" w:type="dxa"/>
            <w:gridSpan w:val="2"/>
            <w:tcBorders>
              <w:top w:val="nil"/>
              <w:left w:val="nil"/>
              <w:bottom w:val="single" w:sz="6" w:space="0" w:color="000000"/>
              <w:right w:val="nil"/>
            </w:tcBorders>
          </w:tcPr>
          <w:p w14:paraId="28510CB2" w14:textId="77777777" w:rsidR="00AA2CEF" w:rsidRPr="006B2E8B" w:rsidRDefault="00AA2CEF" w:rsidP="00AA2CEF">
            <w:pPr>
              <w:pStyle w:val="cTableText"/>
            </w:pPr>
            <w:r w:rsidRPr="006B2E8B">
              <w:t>Check M for male or F for female.</w:t>
            </w:r>
          </w:p>
        </w:tc>
      </w:tr>
      <w:tr w:rsidR="00AA2CEF" w:rsidRPr="006B2E8B" w14:paraId="6069044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448E46B0" w14:textId="77777777" w:rsidR="00AA2CEF" w:rsidRPr="006B2E8B" w:rsidRDefault="00AA2CEF" w:rsidP="00AA2CEF">
            <w:pPr>
              <w:pStyle w:val="cTableText"/>
            </w:pPr>
            <w:r w:rsidRPr="006B2E8B">
              <w:t>4.</w:t>
            </w:r>
            <w:r w:rsidRPr="006B2E8B">
              <w:tab/>
              <w:t>INSURED’S NAME (Last Name, First Name, Middle Initial)</w:t>
            </w:r>
          </w:p>
        </w:tc>
        <w:tc>
          <w:tcPr>
            <w:tcW w:w="5232" w:type="dxa"/>
            <w:gridSpan w:val="2"/>
            <w:tcBorders>
              <w:top w:val="single" w:sz="6" w:space="0" w:color="000000"/>
              <w:left w:val="nil"/>
              <w:bottom w:val="single" w:sz="6" w:space="0" w:color="000000"/>
              <w:right w:val="nil"/>
            </w:tcBorders>
          </w:tcPr>
          <w:p w14:paraId="213A9B6A" w14:textId="77777777" w:rsidR="00AA2CEF" w:rsidRPr="006B2E8B" w:rsidRDefault="00AA2CEF" w:rsidP="00AA2CEF">
            <w:pPr>
              <w:pStyle w:val="cTableText"/>
            </w:pPr>
            <w:r w:rsidRPr="006B2E8B">
              <w:t>Required if insurance affects this claim.  Insured’s last name, first name, and middle initial.</w:t>
            </w:r>
          </w:p>
        </w:tc>
      </w:tr>
      <w:tr w:rsidR="00AA2CEF" w:rsidRPr="006B2E8B" w14:paraId="196D894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37D6F329" w14:textId="77777777" w:rsidR="00AA2CEF" w:rsidRPr="006B2E8B" w:rsidRDefault="00AA2CEF" w:rsidP="00AA2CEF">
            <w:pPr>
              <w:pStyle w:val="cTableText"/>
            </w:pPr>
            <w:r w:rsidRPr="006B2E8B">
              <w:t>5.</w:t>
            </w:r>
            <w:r w:rsidRPr="006B2E8B">
              <w:tab/>
              <w:t>PATIENT’S ADDRESS (No., Street)</w:t>
            </w:r>
          </w:p>
        </w:tc>
        <w:tc>
          <w:tcPr>
            <w:tcW w:w="5232" w:type="dxa"/>
            <w:gridSpan w:val="2"/>
            <w:tcBorders>
              <w:top w:val="single" w:sz="6" w:space="0" w:color="000000"/>
              <w:left w:val="nil"/>
              <w:bottom w:val="nil"/>
              <w:right w:val="nil"/>
            </w:tcBorders>
          </w:tcPr>
          <w:p w14:paraId="4C3B4908" w14:textId="77777777" w:rsidR="00AA2CEF" w:rsidRPr="006B2E8B" w:rsidRDefault="00AA2CEF" w:rsidP="00AA2CEF">
            <w:pPr>
              <w:pStyle w:val="cTableText"/>
            </w:pPr>
            <w:r w:rsidRPr="006B2E8B">
              <w:t>Optional.  Beneficiary’s or participant’s complete</w:t>
            </w:r>
            <w:r w:rsidRPr="006B2E8B">
              <w:rPr>
                <w:i/>
              </w:rPr>
              <w:t xml:space="preserve"> </w:t>
            </w:r>
            <w:r w:rsidRPr="006B2E8B">
              <w:t>mailing address (street address or post office box).</w:t>
            </w:r>
          </w:p>
        </w:tc>
      </w:tr>
      <w:tr w:rsidR="00AA2CEF" w:rsidRPr="006B2E8B" w14:paraId="0EEBE56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A384CAD" w14:textId="77777777" w:rsidR="00AA2CEF" w:rsidRPr="006B2E8B" w:rsidRDefault="00AA2CEF" w:rsidP="00AA2CEF">
            <w:pPr>
              <w:pStyle w:val="cTableText"/>
            </w:pPr>
            <w:r w:rsidRPr="006B2E8B">
              <w:tab/>
              <w:t>CITY</w:t>
            </w:r>
          </w:p>
        </w:tc>
        <w:tc>
          <w:tcPr>
            <w:tcW w:w="5232" w:type="dxa"/>
            <w:gridSpan w:val="2"/>
            <w:tcBorders>
              <w:top w:val="nil"/>
              <w:left w:val="nil"/>
              <w:bottom w:val="nil"/>
              <w:right w:val="nil"/>
            </w:tcBorders>
          </w:tcPr>
          <w:p w14:paraId="7CE24131" w14:textId="77777777" w:rsidR="00AA2CEF" w:rsidRPr="006B2E8B" w:rsidRDefault="00AA2CEF" w:rsidP="00AA2CEF">
            <w:pPr>
              <w:pStyle w:val="cTableText"/>
            </w:pPr>
            <w:r w:rsidRPr="006B2E8B">
              <w:t>Name of the city in which the beneficiary or participant resides.</w:t>
            </w:r>
          </w:p>
        </w:tc>
      </w:tr>
      <w:tr w:rsidR="00AA2CEF" w:rsidRPr="006B2E8B" w14:paraId="344A0C5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ACD1403" w14:textId="77777777" w:rsidR="00AA2CEF" w:rsidRPr="006B2E8B" w:rsidRDefault="00AA2CEF" w:rsidP="00AA2CEF">
            <w:pPr>
              <w:pStyle w:val="cTableText"/>
            </w:pPr>
            <w:r w:rsidRPr="006B2E8B">
              <w:tab/>
              <w:t>STATE</w:t>
            </w:r>
          </w:p>
        </w:tc>
        <w:tc>
          <w:tcPr>
            <w:tcW w:w="5232" w:type="dxa"/>
            <w:gridSpan w:val="2"/>
            <w:tcBorders>
              <w:top w:val="nil"/>
              <w:left w:val="nil"/>
              <w:bottom w:val="nil"/>
              <w:right w:val="nil"/>
            </w:tcBorders>
          </w:tcPr>
          <w:p w14:paraId="78857E45" w14:textId="77777777" w:rsidR="00AA2CEF" w:rsidRPr="006B2E8B" w:rsidRDefault="00AA2CEF" w:rsidP="00AA2CEF">
            <w:pPr>
              <w:pStyle w:val="cTableText"/>
            </w:pPr>
            <w:r w:rsidRPr="006B2E8B">
              <w:t>Two-letter postal code for the state in which the beneficiary or participant resides.</w:t>
            </w:r>
          </w:p>
        </w:tc>
      </w:tr>
      <w:tr w:rsidR="00AA2CEF" w:rsidRPr="006B2E8B" w14:paraId="2344520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7C80F0B" w14:textId="77777777" w:rsidR="00AA2CEF" w:rsidRPr="006B2E8B" w:rsidRDefault="00AA2CEF" w:rsidP="00AA2CEF">
            <w:pPr>
              <w:pStyle w:val="cTableText"/>
            </w:pPr>
            <w:r w:rsidRPr="006B2E8B">
              <w:tab/>
              <w:t>ZIP CODE</w:t>
            </w:r>
          </w:p>
        </w:tc>
        <w:tc>
          <w:tcPr>
            <w:tcW w:w="5232" w:type="dxa"/>
            <w:gridSpan w:val="2"/>
            <w:tcBorders>
              <w:top w:val="nil"/>
              <w:left w:val="nil"/>
              <w:bottom w:val="nil"/>
              <w:right w:val="nil"/>
            </w:tcBorders>
          </w:tcPr>
          <w:p w14:paraId="70F5DDA1" w14:textId="77777777" w:rsidR="00AA2CEF" w:rsidRPr="006B2E8B" w:rsidRDefault="00AA2CEF" w:rsidP="00AA2CEF">
            <w:pPr>
              <w:pStyle w:val="cTableText"/>
            </w:pPr>
            <w:r w:rsidRPr="006B2E8B">
              <w:t>Five-digit zip code; nine digits for post office box.</w:t>
            </w:r>
          </w:p>
        </w:tc>
      </w:tr>
      <w:tr w:rsidR="00AA2CEF" w:rsidRPr="006B2E8B" w14:paraId="3E0BFDE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4" w:space="0" w:color="auto"/>
              <w:right w:val="nil"/>
            </w:tcBorders>
          </w:tcPr>
          <w:p w14:paraId="0F0B25EB" w14:textId="77777777" w:rsidR="00AA2CEF" w:rsidRPr="006B2E8B" w:rsidRDefault="00AA2CEF" w:rsidP="00AA2CEF">
            <w:pPr>
              <w:pStyle w:val="cTableText"/>
            </w:pPr>
            <w:r w:rsidRPr="006B2E8B">
              <w:tab/>
              <w:t>TELEPHONE (Include Area Code)</w:t>
            </w:r>
          </w:p>
        </w:tc>
        <w:tc>
          <w:tcPr>
            <w:tcW w:w="5232" w:type="dxa"/>
            <w:gridSpan w:val="2"/>
            <w:tcBorders>
              <w:top w:val="nil"/>
              <w:left w:val="nil"/>
              <w:bottom w:val="single" w:sz="4" w:space="0" w:color="auto"/>
              <w:right w:val="nil"/>
            </w:tcBorders>
          </w:tcPr>
          <w:p w14:paraId="39BA6045" w14:textId="77777777" w:rsidR="00AA2CEF" w:rsidRPr="006B2E8B" w:rsidRDefault="00AA2CEF" w:rsidP="00AA2CEF">
            <w:pPr>
              <w:pStyle w:val="cTableText"/>
            </w:pPr>
            <w:r w:rsidRPr="006B2E8B">
              <w:t xml:space="preserve">The beneficiary’s or participant’s telephone number or the number of a reliable message/contact/ emergency telephone </w:t>
            </w:r>
          </w:p>
        </w:tc>
      </w:tr>
      <w:tr w:rsidR="00AA2CEF" w:rsidRPr="006B2E8B" w14:paraId="031F3CB5"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4" w:space="0" w:color="auto"/>
              <w:left w:val="nil"/>
              <w:bottom w:val="single" w:sz="6" w:space="0" w:color="000000"/>
              <w:right w:val="nil"/>
            </w:tcBorders>
          </w:tcPr>
          <w:p w14:paraId="6D1746CD" w14:textId="77777777" w:rsidR="00AA2CEF" w:rsidRPr="006B2E8B" w:rsidRDefault="00AA2CEF" w:rsidP="00AA2CEF">
            <w:pPr>
              <w:pStyle w:val="cTableText"/>
            </w:pPr>
            <w:r w:rsidRPr="006B2E8B">
              <w:t>6.</w:t>
            </w:r>
            <w:r w:rsidRPr="006B2E8B">
              <w:tab/>
              <w:t>PATIENT RELATIONSHIP TO INSURED</w:t>
            </w:r>
          </w:p>
        </w:tc>
        <w:tc>
          <w:tcPr>
            <w:tcW w:w="5232" w:type="dxa"/>
            <w:gridSpan w:val="2"/>
            <w:tcBorders>
              <w:top w:val="single" w:sz="4" w:space="0" w:color="auto"/>
              <w:left w:val="nil"/>
              <w:bottom w:val="single" w:sz="6" w:space="0" w:color="000000"/>
              <w:right w:val="nil"/>
            </w:tcBorders>
          </w:tcPr>
          <w:p w14:paraId="31040ACE" w14:textId="77777777" w:rsidR="00AA2CEF" w:rsidRPr="006B2E8B" w:rsidRDefault="00AA2CEF" w:rsidP="00AA2CEF">
            <w:pPr>
              <w:pStyle w:val="cTableText"/>
            </w:pPr>
            <w:r w:rsidRPr="006B2E8B">
              <w:t>If insurance affects this claim, check the box indicating the patient’s relationship to the insured.</w:t>
            </w:r>
          </w:p>
        </w:tc>
      </w:tr>
      <w:tr w:rsidR="00AA2CEF" w:rsidRPr="006B2E8B" w14:paraId="15FAEEE1"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6068A440" w14:textId="77777777" w:rsidR="00AA2CEF" w:rsidRPr="006B2E8B" w:rsidRDefault="00AA2CEF" w:rsidP="00AA2CEF">
            <w:pPr>
              <w:pStyle w:val="cTableText"/>
            </w:pPr>
            <w:r w:rsidRPr="006B2E8B">
              <w:t>7.</w:t>
            </w:r>
            <w:r w:rsidRPr="006B2E8B">
              <w:tab/>
              <w:t>INSURED’S ADDRESS (No., Street)</w:t>
            </w:r>
          </w:p>
        </w:tc>
        <w:tc>
          <w:tcPr>
            <w:tcW w:w="5232" w:type="dxa"/>
            <w:gridSpan w:val="2"/>
            <w:tcBorders>
              <w:top w:val="single" w:sz="6" w:space="0" w:color="000000"/>
              <w:left w:val="nil"/>
              <w:bottom w:val="nil"/>
              <w:right w:val="nil"/>
            </w:tcBorders>
          </w:tcPr>
          <w:p w14:paraId="29720372" w14:textId="77777777" w:rsidR="00AA2CEF" w:rsidRPr="006B2E8B" w:rsidRDefault="00AA2CEF" w:rsidP="00AA2CEF">
            <w:pPr>
              <w:pStyle w:val="cTableText"/>
            </w:pPr>
            <w:r w:rsidRPr="006B2E8B">
              <w:t xml:space="preserve">Required if </w:t>
            </w:r>
            <w:proofErr w:type="gramStart"/>
            <w:r w:rsidRPr="006B2E8B">
              <w:t>insured’s</w:t>
            </w:r>
            <w:proofErr w:type="gramEnd"/>
            <w:r w:rsidRPr="006B2E8B">
              <w:t xml:space="preserve"> address is different from the patient’s address.</w:t>
            </w:r>
          </w:p>
        </w:tc>
      </w:tr>
      <w:tr w:rsidR="00AA2CEF" w:rsidRPr="006B2E8B" w14:paraId="0F88639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6AAE5A2" w14:textId="77777777" w:rsidR="00AA2CEF" w:rsidRPr="006B2E8B" w:rsidRDefault="00AA2CEF" w:rsidP="00AA2CEF">
            <w:pPr>
              <w:pStyle w:val="cTableText"/>
            </w:pPr>
            <w:r w:rsidRPr="006B2E8B">
              <w:tab/>
              <w:t>CITY</w:t>
            </w:r>
          </w:p>
        </w:tc>
        <w:tc>
          <w:tcPr>
            <w:tcW w:w="5232" w:type="dxa"/>
            <w:gridSpan w:val="2"/>
            <w:tcBorders>
              <w:top w:val="nil"/>
              <w:left w:val="nil"/>
              <w:bottom w:val="nil"/>
              <w:right w:val="nil"/>
            </w:tcBorders>
          </w:tcPr>
          <w:p w14:paraId="75386505" w14:textId="77777777" w:rsidR="00AA2CEF" w:rsidRPr="006B2E8B" w:rsidRDefault="00AA2CEF" w:rsidP="00AA2CEF">
            <w:pPr>
              <w:pStyle w:val="cTableText"/>
            </w:pPr>
          </w:p>
        </w:tc>
      </w:tr>
      <w:tr w:rsidR="00AA2CEF" w:rsidRPr="006B2E8B" w14:paraId="50E6448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7E6215A2" w14:textId="77777777" w:rsidR="00AA2CEF" w:rsidRPr="006B2E8B" w:rsidRDefault="00AA2CEF" w:rsidP="00AA2CEF">
            <w:pPr>
              <w:pStyle w:val="cTableText"/>
            </w:pPr>
            <w:r w:rsidRPr="006B2E8B">
              <w:tab/>
              <w:t>STATE</w:t>
            </w:r>
          </w:p>
        </w:tc>
        <w:tc>
          <w:tcPr>
            <w:tcW w:w="5232" w:type="dxa"/>
            <w:gridSpan w:val="2"/>
            <w:tcBorders>
              <w:top w:val="nil"/>
              <w:left w:val="nil"/>
              <w:bottom w:val="nil"/>
              <w:right w:val="nil"/>
            </w:tcBorders>
          </w:tcPr>
          <w:p w14:paraId="13E4F060" w14:textId="77777777" w:rsidR="00AA2CEF" w:rsidRPr="006B2E8B" w:rsidRDefault="00AA2CEF" w:rsidP="00AA2CEF">
            <w:pPr>
              <w:pStyle w:val="cTableText"/>
            </w:pPr>
          </w:p>
        </w:tc>
      </w:tr>
      <w:tr w:rsidR="00AA2CEF" w:rsidRPr="006B2E8B" w14:paraId="36A9667E"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2CE0BF79" w14:textId="77777777" w:rsidR="00AA2CEF" w:rsidRPr="006B2E8B" w:rsidRDefault="00AA2CEF" w:rsidP="00AA2CEF">
            <w:pPr>
              <w:pStyle w:val="cTableText"/>
            </w:pPr>
            <w:r w:rsidRPr="006B2E8B">
              <w:tab/>
              <w:t>ZIP CODE</w:t>
            </w:r>
          </w:p>
        </w:tc>
        <w:tc>
          <w:tcPr>
            <w:tcW w:w="5232" w:type="dxa"/>
            <w:gridSpan w:val="2"/>
            <w:tcBorders>
              <w:top w:val="nil"/>
              <w:left w:val="nil"/>
              <w:bottom w:val="nil"/>
              <w:right w:val="nil"/>
            </w:tcBorders>
          </w:tcPr>
          <w:p w14:paraId="451E4E29" w14:textId="77777777" w:rsidR="00AA2CEF" w:rsidRPr="006B2E8B" w:rsidRDefault="00AA2CEF" w:rsidP="00AA2CEF">
            <w:pPr>
              <w:pStyle w:val="cTableText"/>
            </w:pPr>
          </w:p>
        </w:tc>
      </w:tr>
      <w:tr w:rsidR="00AA2CEF" w:rsidRPr="006B2E8B" w14:paraId="6649035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4" w:space="0" w:color="auto"/>
              <w:right w:val="nil"/>
            </w:tcBorders>
          </w:tcPr>
          <w:p w14:paraId="1BCDC352" w14:textId="77777777" w:rsidR="00AA2CEF" w:rsidRPr="006B2E8B" w:rsidRDefault="00AA2CEF" w:rsidP="00AA2CEF">
            <w:pPr>
              <w:pStyle w:val="cTableText"/>
            </w:pPr>
            <w:r w:rsidRPr="006B2E8B">
              <w:tab/>
              <w:t>TELEPHONE (Include Area Code)</w:t>
            </w:r>
          </w:p>
        </w:tc>
        <w:tc>
          <w:tcPr>
            <w:tcW w:w="5232" w:type="dxa"/>
            <w:gridSpan w:val="2"/>
            <w:tcBorders>
              <w:top w:val="nil"/>
              <w:left w:val="nil"/>
              <w:bottom w:val="single" w:sz="4" w:space="0" w:color="auto"/>
              <w:right w:val="nil"/>
            </w:tcBorders>
          </w:tcPr>
          <w:p w14:paraId="3FCAE892" w14:textId="77777777" w:rsidR="00AA2CEF" w:rsidRPr="006B2E8B" w:rsidRDefault="00AA2CEF" w:rsidP="00AA2CEF">
            <w:pPr>
              <w:pStyle w:val="cTableText"/>
            </w:pPr>
          </w:p>
        </w:tc>
      </w:tr>
      <w:tr w:rsidR="00AA2CEF" w:rsidRPr="006B2E8B" w14:paraId="5F16F33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4" w:space="0" w:color="auto"/>
              <w:left w:val="nil"/>
              <w:bottom w:val="single" w:sz="6" w:space="0" w:color="000000"/>
              <w:right w:val="nil"/>
            </w:tcBorders>
          </w:tcPr>
          <w:p w14:paraId="1A1182A3" w14:textId="77777777" w:rsidR="00AA2CEF" w:rsidRPr="006B2E8B" w:rsidRDefault="00AA2CEF" w:rsidP="00AA2CEF">
            <w:pPr>
              <w:pStyle w:val="cTableText"/>
            </w:pPr>
            <w:r w:rsidRPr="006B2E8B">
              <w:t>8.</w:t>
            </w:r>
            <w:r w:rsidRPr="006B2E8B">
              <w:tab/>
              <w:t>RESERVED</w:t>
            </w:r>
          </w:p>
        </w:tc>
        <w:tc>
          <w:tcPr>
            <w:tcW w:w="5232" w:type="dxa"/>
            <w:gridSpan w:val="2"/>
            <w:tcBorders>
              <w:top w:val="single" w:sz="4" w:space="0" w:color="auto"/>
              <w:left w:val="nil"/>
              <w:bottom w:val="single" w:sz="6" w:space="0" w:color="000000"/>
              <w:right w:val="nil"/>
            </w:tcBorders>
          </w:tcPr>
          <w:p w14:paraId="2CCD67E1" w14:textId="77777777" w:rsidR="00AA2CEF" w:rsidRPr="006B2E8B" w:rsidRDefault="00AA2CEF" w:rsidP="00AA2CEF">
            <w:pPr>
              <w:pStyle w:val="cTableText"/>
            </w:pPr>
            <w:r w:rsidRPr="006B2E8B">
              <w:t>Reserved for NUCC use.</w:t>
            </w:r>
          </w:p>
        </w:tc>
      </w:tr>
      <w:tr w:rsidR="00AA2CEF" w:rsidRPr="006B2E8B" w14:paraId="28ACA12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0E7D3B9B" w14:textId="77777777" w:rsidR="00AA2CEF" w:rsidRPr="006B2E8B" w:rsidRDefault="00AA2CEF" w:rsidP="00AA2CEF">
            <w:pPr>
              <w:pStyle w:val="cTableText"/>
            </w:pPr>
            <w:r w:rsidRPr="006B2E8B">
              <w:lastRenderedPageBreak/>
              <w:t>9.</w:t>
            </w:r>
            <w:r w:rsidRPr="006B2E8B">
              <w:tab/>
              <w:t>OTHER INSURED’S NAME (Last name, First Name, Middle Initial)</w:t>
            </w:r>
          </w:p>
        </w:tc>
        <w:tc>
          <w:tcPr>
            <w:tcW w:w="5232" w:type="dxa"/>
            <w:gridSpan w:val="2"/>
            <w:tcBorders>
              <w:top w:val="single" w:sz="6" w:space="0" w:color="000000"/>
              <w:left w:val="nil"/>
              <w:bottom w:val="nil"/>
              <w:right w:val="nil"/>
            </w:tcBorders>
          </w:tcPr>
          <w:p w14:paraId="75646CBE" w14:textId="77777777" w:rsidR="00AA2CEF" w:rsidRPr="006B2E8B" w:rsidRDefault="00AA2CEF" w:rsidP="00AA2CEF">
            <w:pPr>
              <w:pStyle w:val="cTableText"/>
            </w:pPr>
            <w:r w:rsidRPr="006B2E8B">
              <w:t>If patient has other insurance coverage as indicated in Field 11d, the other insured’s last name, first name, and middle initial.</w:t>
            </w:r>
          </w:p>
        </w:tc>
      </w:tr>
      <w:tr w:rsidR="00AA2CEF" w:rsidRPr="006B2E8B" w14:paraId="20528949"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1AEE67B" w14:textId="77777777" w:rsidR="00AA2CEF" w:rsidRPr="006B2E8B" w:rsidRDefault="00AA2CEF" w:rsidP="00AA2CEF">
            <w:pPr>
              <w:pStyle w:val="cTableText"/>
            </w:pPr>
            <w:r w:rsidRPr="006B2E8B">
              <w:t>a.</w:t>
            </w:r>
            <w:r w:rsidRPr="006B2E8B">
              <w:tab/>
              <w:t>OTHER INSURED’S POLICY OR GROUP NUMBER</w:t>
            </w:r>
          </w:p>
        </w:tc>
        <w:tc>
          <w:tcPr>
            <w:tcW w:w="5232" w:type="dxa"/>
            <w:gridSpan w:val="2"/>
            <w:tcBorders>
              <w:top w:val="nil"/>
              <w:left w:val="nil"/>
              <w:bottom w:val="nil"/>
              <w:right w:val="nil"/>
            </w:tcBorders>
          </w:tcPr>
          <w:p w14:paraId="2DCCAE96" w14:textId="77777777" w:rsidR="00AA2CEF" w:rsidRPr="006B2E8B" w:rsidRDefault="00AA2CEF" w:rsidP="00AA2CEF">
            <w:pPr>
              <w:pStyle w:val="cTableText"/>
            </w:pPr>
            <w:r w:rsidRPr="006B2E8B">
              <w:t>Policy and/or group number of the insured individual.</w:t>
            </w:r>
          </w:p>
        </w:tc>
      </w:tr>
      <w:tr w:rsidR="00AA2CEF" w:rsidRPr="006B2E8B" w14:paraId="042FF0D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969895E" w14:textId="77777777" w:rsidR="00AA2CEF" w:rsidRPr="006B2E8B" w:rsidRDefault="00AA2CEF" w:rsidP="00AA2CEF">
            <w:pPr>
              <w:pStyle w:val="cTableText"/>
            </w:pPr>
            <w:r w:rsidRPr="006B2E8B">
              <w:t>b.</w:t>
            </w:r>
            <w:r w:rsidRPr="006B2E8B">
              <w:tab/>
              <w:t>RESERVED</w:t>
            </w:r>
          </w:p>
        </w:tc>
        <w:tc>
          <w:tcPr>
            <w:tcW w:w="5232" w:type="dxa"/>
            <w:gridSpan w:val="2"/>
            <w:tcBorders>
              <w:top w:val="nil"/>
              <w:left w:val="nil"/>
              <w:bottom w:val="nil"/>
              <w:right w:val="nil"/>
            </w:tcBorders>
          </w:tcPr>
          <w:p w14:paraId="00C79872" w14:textId="77777777" w:rsidR="00AA2CEF" w:rsidRPr="006B2E8B" w:rsidRDefault="00AA2CEF" w:rsidP="00AA2CEF">
            <w:pPr>
              <w:pStyle w:val="cTableText"/>
            </w:pPr>
            <w:r w:rsidRPr="006B2E8B">
              <w:t>Reserved for NUCC use.</w:t>
            </w:r>
          </w:p>
        </w:tc>
      </w:tr>
      <w:tr w:rsidR="00AA2CEF" w:rsidRPr="006B2E8B" w14:paraId="17A962D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3E37D82D" w14:textId="77777777" w:rsidR="00AA2CEF" w:rsidRPr="006B2E8B" w:rsidRDefault="00AA2CEF" w:rsidP="00AA2CEF">
            <w:pPr>
              <w:pStyle w:val="cTableText"/>
            </w:pPr>
            <w:r w:rsidRPr="006B2E8B">
              <w:t>SEX</w:t>
            </w:r>
          </w:p>
        </w:tc>
        <w:tc>
          <w:tcPr>
            <w:tcW w:w="5232" w:type="dxa"/>
            <w:gridSpan w:val="2"/>
            <w:tcBorders>
              <w:top w:val="nil"/>
              <w:left w:val="nil"/>
              <w:bottom w:val="nil"/>
              <w:right w:val="nil"/>
            </w:tcBorders>
          </w:tcPr>
          <w:p w14:paraId="7F6D1AC8" w14:textId="77777777" w:rsidR="00AA2CEF" w:rsidRPr="006B2E8B" w:rsidRDefault="00AA2CEF" w:rsidP="00AA2CEF">
            <w:pPr>
              <w:pStyle w:val="cTableText"/>
            </w:pPr>
            <w:r w:rsidRPr="006B2E8B">
              <w:t>Not required.</w:t>
            </w:r>
          </w:p>
        </w:tc>
      </w:tr>
      <w:tr w:rsidR="00AA2CEF" w:rsidRPr="006B2E8B" w14:paraId="2A66AC3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841B96E" w14:textId="77777777" w:rsidR="00AA2CEF" w:rsidRPr="006B2E8B" w:rsidRDefault="00AA2CEF" w:rsidP="00AA2CEF">
            <w:pPr>
              <w:pStyle w:val="cTableText"/>
            </w:pPr>
            <w:r w:rsidRPr="006B2E8B">
              <w:t>c.</w:t>
            </w:r>
            <w:r w:rsidRPr="006B2E8B">
              <w:tab/>
              <w:t>RESERVED</w:t>
            </w:r>
          </w:p>
        </w:tc>
        <w:tc>
          <w:tcPr>
            <w:tcW w:w="5232" w:type="dxa"/>
            <w:gridSpan w:val="2"/>
            <w:tcBorders>
              <w:top w:val="nil"/>
              <w:left w:val="nil"/>
              <w:bottom w:val="nil"/>
              <w:right w:val="nil"/>
            </w:tcBorders>
          </w:tcPr>
          <w:p w14:paraId="6C739D4E" w14:textId="77777777" w:rsidR="00AA2CEF" w:rsidRPr="006B2E8B" w:rsidRDefault="00AA2CEF" w:rsidP="00AA2CEF">
            <w:pPr>
              <w:pStyle w:val="cTableText"/>
            </w:pPr>
            <w:r w:rsidRPr="006B2E8B">
              <w:t>Reserved for NUCC use.</w:t>
            </w:r>
          </w:p>
        </w:tc>
      </w:tr>
      <w:tr w:rsidR="00AA2CEF" w:rsidRPr="006B2E8B" w14:paraId="73175117"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3FE90BE6" w14:textId="77777777" w:rsidR="00AA2CEF" w:rsidRPr="006B2E8B" w:rsidRDefault="00AA2CEF" w:rsidP="00AA2CEF">
            <w:pPr>
              <w:pStyle w:val="cTableText"/>
            </w:pPr>
            <w:r w:rsidRPr="006B2E8B">
              <w:t>d.</w:t>
            </w:r>
            <w:r w:rsidRPr="006B2E8B">
              <w:tab/>
              <w:t>INSURANCE PLAN NAME OR PROGRAM NAME</w:t>
            </w:r>
          </w:p>
        </w:tc>
        <w:tc>
          <w:tcPr>
            <w:tcW w:w="5232" w:type="dxa"/>
            <w:gridSpan w:val="2"/>
            <w:tcBorders>
              <w:top w:val="nil"/>
              <w:left w:val="nil"/>
              <w:bottom w:val="single" w:sz="6" w:space="0" w:color="000000"/>
              <w:right w:val="nil"/>
            </w:tcBorders>
          </w:tcPr>
          <w:p w14:paraId="6A7A5B8E" w14:textId="77777777" w:rsidR="00AA2CEF" w:rsidRPr="006B2E8B" w:rsidRDefault="00AA2CEF" w:rsidP="00AA2CEF">
            <w:pPr>
              <w:pStyle w:val="cTableText"/>
            </w:pPr>
            <w:r w:rsidRPr="006B2E8B">
              <w:t>Name of the insurance company.</w:t>
            </w:r>
          </w:p>
        </w:tc>
      </w:tr>
      <w:tr w:rsidR="00AA2CEF" w:rsidRPr="006B2E8B" w14:paraId="574BADE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608EDEE2" w14:textId="77777777" w:rsidR="00AA2CEF" w:rsidRPr="006B2E8B" w:rsidRDefault="00AA2CEF" w:rsidP="00AA2CEF">
            <w:pPr>
              <w:pStyle w:val="cTableText"/>
            </w:pPr>
            <w:r w:rsidRPr="006B2E8B">
              <w:t>10.</w:t>
            </w:r>
            <w:r w:rsidRPr="006B2E8B">
              <w:tab/>
              <w:t>IS PATIENT’S CONDITION RELATED TO:</w:t>
            </w:r>
          </w:p>
        </w:tc>
        <w:tc>
          <w:tcPr>
            <w:tcW w:w="5232" w:type="dxa"/>
            <w:gridSpan w:val="2"/>
            <w:tcBorders>
              <w:top w:val="single" w:sz="6" w:space="0" w:color="000000"/>
              <w:left w:val="nil"/>
              <w:bottom w:val="nil"/>
              <w:right w:val="nil"/>
            </w:tcBorders>
          </w:tcPr>
          <w:p w14:paraId="640963EF" w14:textId="77777777" w:rsidR="00AA2CEF" w:rsidRPr="006B2E8B" w:rsidRDefault="00AA2CEF" w:rsidP="00AA2CEF">
            <w:pPr>
              <w:pStyle w:val="cTableText"/>
            </w:pPr>
          </w:p>
        </w:tc>
      </w:tr>
      <w:tr w:rsidR="00AA2CEF" w:rsidRPr="006B2E8B" w14:paraId="71A944F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D5A535A" w14:textId="77777777" w:rsidR="00AA2CEF" w:rsidRPr="006B2E8B" w:rsidRDefault="00AA2CEF" w:rsidP="00AA2CEF">
            <w:pPr>
              <w:pStyle w:val="cTableText"/>
            </w:pPr>
            <w:r w:rsidRPr="006B2E8B">
              <w:t>a.</w:t>
            </w:r>
            <w:r w:rsidRPr="006B2E8B">
              <w:tab/>
              <w:t>EMPLOYMENT? (Current or Previous)</w:t>
            </w:r>
          </w:p>
        </w:tc>
        <w:tc>
          <w:tcPr>
            <w:tcW w:w="5232" w:type="dxa"/>
            <w:gridSpan w:val="2"/>
            <w:tcBorders>
              <w:top w:val="nil"/>
              <w:left w:val="nil"/>
              <w:bottom w:val="nil"/>
              <w:right w:val="nil"/>
            </w:tcBorders>
          </w:tcPr>
          <w:p w14:paraId="5D3C6987" w14:textId="77777777" w:rsidR="00AA2CEF" w:rsidRPr="006B2E8B" w:rsidRDefault="00AA2CEF" w:rsidP="00AA2CEF">
            <w:pPr>
              <w:pStyle w:val="cTableText"/>
            </w:pPr>
            <w:r w:rsidRPr="006B2E8B">
              <w:t>Check YES or NO.</w:t>
            </w:r>
          </w:p>
        </w:tc>
      </w:tr>
      <w:tr w:rsidR="00AA2CEF" w:rsidRPr="006B2E8B" w14:paraId="791E0AC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5C7D1A3" w14:textId="77777777" w:rsidR="00AA2CEF" w:rsidRPr="006B2E8B" w:rsidRDefault="00AA2CEF" w:rsidP="00AA2CEF">
            <w:pPr>
              <w:pStyle w:val="cTableText"/>
            </w:pPr>
            <w:r w:rsidRPr="006B2E8B">
              <w:t>b.</w:t>
            </w:r>
            <w:r w:rsidRPr="006B2E8B">
              <w:tab/>
              <w:t xml:space="preserve">AUTO ACCIDENT? </w:t>
            </w:r>
          </w:p>
        </w:tc>
        <w:tc>
          <w:tcPr>
            <w:tcW w:w="5232" w:type="dxa"/>
            <w:gridSpan w:val="2"/>
            <w:tcBorders>
              <w:top w:val="nil"/>
              <w:left w:val="nil"/>
              <w:bottom w:val="nil"/>
              <w:right w:val="nil"/>
            </w:tcBorders>
          </w:tcPr>
          <w:p w14:paraId="5DC21149" w14:textId="77777777" w:rsidR="00AA2CEF" w:rsidRPr="006B2E8B" w:rsidRDefault="00AA2CEF" w:rsidP="00AA2CEF">
            <w:pPr>
              <w:pStyle w:val="cTableText"/>
            </w:pPr>
            <w:r w:rsidRPr="006B2E8B">
              <w:t>Required when an auto accident is related to the services.  Check YES or NO.</w:t>
            </w:r>
          </w:p>
        </w:tc>
      </w:tr>
      <w:tr w:rsidR="00AA2CEF" w:rsidRPr="006B2E8B" w14:paraId="240EF4C9"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08FD49A" w14:textId="77777777" w:rsidR="00AA2CEF" w:rsidRPr="006B2E8B" w:rsidRDefault="00AA2CEF" w:rsidP="00AA2CEF">
            <w:pPr>
              <w:pStyle w:val="cTableText"/>
            </w:pPr>
            <w:r w:rsidRPr="006B2E8B">
              <w:tab/>
              <w:t>PLACE (State)</w:t>
            </w:r>
          </w:p>
        </w:tc>
        <w:tc>
          <w:tcPr>
            <w:tcW w:w="5232" w:type="dxa"/>
            <w:gridSpan w:val="2"/>
            <w:tcBorders>
              <w:top w:val="nil"/>
              <w:left w:val="nil"/>
              <w:bottom w:val="nil"/>
              <w:right w:val="nil"/>
            </w:tcBorders>
          </w:tcPr>
          <w:p w14:paraId="78DBD1DD" w14:textId="77777777" w:rsidR="00AA2CEF" w:rsidRPr="006B2E8B" w:rsidRDefault="00AA2CEF" w:rsidP="00AA2CEF">
            <w:pPr>
              <w:pStyle w:val="cTableText"/>
            </w:pPr>
            <w:r w:rsidRPr="006B2E8B">
              <w:t>If 10b is YES, the two-letter postal abbreviation for the state in which the automobile accident took place.</w:t>
            </w:r>
          </w:p>
        </w:tc>
      </w:tr>
      <w:tr w:rsidR="00AA2CEF" w:rsidRPr="006B2E8B" w14:paraId="38262FC1"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6CD19344" w14:textId="77777777" w:rsidR="00AA2CEF" w:rsidRPr="006B2E8B" w:rsidRDefault="00AA2CEF" w:rsidP="00AA2CEF">
            <w:pPr>
              <w:pStyle w:val="cTableText"/>
            </w:pPr>
            <w:r w:rsidRPr="006B2E8B">
              <w:t>c.</w:t>
            </w:r>
            <w:r w:rsidRPr="006B2E8B">
              <w:tab/>
              <w:t>OTHER ACCIDENT?</w:t>
            </w:r>
          </w:p>
        </w:tc>
        <w:tc>
          <w:tcPr>
            <w:tcW w:w="5232" w:type="dxa"/>
            <w:gridSpan w:val="2"/>
            <w:tcBorders>
              <w:top w:val="nil"/>
              <w:left w:val="nil"/>
              <w:bottom w:val="nil"/>
              <w:right w:val="nil"/>
            </w:tcBorders>
          </w:tcPr>
          <w:p w14:paraId="3F0B8626" w14:textId="77777777" w:rsidR="00AA2CEF" w:rsidRPr="006B2E8B" w:rsidRDefault="00AA2CEF" w:rsidP="00AA2CEF">
            <w:pPr>
              <w:pStyle w:val="cTableText"/>
            </w:pPr>
            <w:r w:rsidRPr="006B2E8B">
              <w:t xml:space="preserve">Required when an accident other than </w:t>
            </w:r>
            <w:proofErr w:type="gramStart"/>
            <w:r w:rsidRPr="006B2E8B">
              <w:t>automobile</w:t>
            </w:r>
            <w:proofErr w:type="gramEnd"/>
            <w:r w:rsidRPr="006B2E8B">
              <w:t xml:space="preserve"> is related to the services.  Check YES or NO.</w:t>
            </w:r>
          </w:p>
        </w:tc>
      </w:tr>
      <w:tr w:rsidR="00AA2CEF" w:rsidRPr="006B2E8B" w14:paraId="579AE90E"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2C02D1B0" w14:textId="77777777" w:rsidR="00AA2CEF" w:rsidRPr="006B2E8B" w:rsidRDefault="00AA2CEF" w:rsidP="00AA2CEF">
            <w:pPr>
              <w:pStyle w:val="cTableText"/>
            </w:pPr>
            <w:r w:rsidRPr="006B2E8B">
              <w:t>d.</w:t>
            </w:r>
            <w:r w:rsidRPr="006B2E8B">
              <w:tab/>
              <w:t>CLAIM CODES</w:t>
            </w:r>
          </w:p>
        </w:tc>
        <w:tc>
          <w:tcPr>
            <w:tcW w:w="5232" w:type="dxa"/>
            <w:gridSpan w:val="2"/>
            <w:tcBorders>
              <w:top w:val="nil"/>
              <w:left w:val="nil"/>
              <w:bottom w:val="single" w:sz="6" w:space="0" w:color="000000"/>
              <w:right w:val="nil"/>
            </w:tcBorders>
          </w:tcPr>
          <w:p w14:paraId="033306DC" w14:textId="77777777" w:rsidR="00AA2CEF" w:rsidRPr="006B2E8B" w:rsidRDefault="00AA2CEF" w:rsidP="00AA2CEF">
            <w:pPr>
              <w:pStyle w:val="cTableText"/>
            </w:pPr>
            <w:r w:rsidRPr="006B2E8B">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6B2E8B">
              <w:t>approved</w:t>
            </w:r>
            <w:proofErr w:type="gramEnd"/>
            <w:r w:rsidRPr="006B2E8B">
              <w:t xml:space="preserve"> Condition Codes is found at </w:t>
            </w:r>
            <w:hyperlink r:id="rId48" w:history="1">
              <w:r w:rsidRPr="006B2E8B">
                <w:rPr>
                  <w:rStyle w:val="Hyperlink"/>
                </w:rPr>
                <w:t>www.nucc.org</w:t>
              </w:r>
            </w:hyperlink>
            <w:r w:rsidRPr="006B2E8B">
              <w:t xml:space="preserve"> under Code Sets.</w:t>
            </w:r>
          </w:p>
        </w:tc>
      </w:tr>
      <w:tr w:rsidR="00AA2CEF" w:rsidRPr="006B2E8B" w14:paraId="31DD1D5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6CEBB4B3" w14:textId="77777777" w:rsidR="00AA2CEF" w:rsidRPr="006B2E8B" w:rsidRDefault="00AA2CEF" w:rsidP="00AA2CEF">
            <w:pPr>
              <w:pStyle w:val="cTableText"/>
            </w:pPr>
            <w:r w:rsidRPr="006B2E8B">
              <w:t>11.</w:t>
            </w:r>
            <w:r w:rsidRPr="006B2E8B">
              <w:tab/>
              <w:t>INSURED’S POLICY GROUP OR FECA NUMBER</w:t>
            </w:r>
          </w:p>
        </w:tc>
        <w:tc>
          <w:tcPr>
            <w:tcW w:w="5232" w:type="dxa"/>
            <w:gridSpan w:val="2"/>
            <w:tcBorders>
              <w:top w:val="single" w:sz="6" w:space="0" w:color="000000"/>
              <w:left w:val="nil"/>
              <w:bottom w:val="nil"/>
              <w:right w:val="nil"/>
            </w:tcBorders>
          </w:tcPr>
          <w:p w14:paraId="2980161D" w14:textId="77777777" w:rsidR="00AA2CEF" w:rsidRPr="006B2E8B" w:rsidRDefault="00AA2CEF" w:rsidP="00AA2CEF">
            <w:pPr>
              <w:pStyle w:val="cTableText"/>
            </w:pPr>
            <w:r w:rsidRPr="006B2E8B">
              <w:t xml:space="preserve">Not required when Medicaid is the only </w:t>
            </w:r>
            <w:proofErr w:type="spellStart"/>
            <w:r w:rsidRPr="006B2E8B">
              <w:t>payer</w:t>
            </w:r>
            <w:proofErr w:type="spellEnd"/>
            <w:r w:rsidRPr="006B2E8B">
              <w:t>.</w:t>
            </w:r>
          </w:p>
        </w:tc>
      </w:tr>
      <w:tr w:rsidR="00AA2CEF" w:rsidRPr="006B2E8B" w14:paraId="36B299F9"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ABB8566" w14:textId="77777777" w:rsidR="00AA2CEF" w:rsidRPr="006B2E8B" w:rsidRDefault="00AA2CEF" w:rsidP="00AA2CEF">
            <w:pPr>
              <w:pStyle w:val="cTableText"/>
            </w:pPr>
            <w:r w:rsidRPr="006B2E8B">
              <w:t>a.</w:t>
            </w:r>
            <w:r w:rsidRPr="006B2E8B">
              <w:tab/>
              <w:t>INSURED’S DATE OF BIRTH</w:t>
            </w:r>
          </w:p>
        </w:tc>
        <w:tc>
          <w:tcPr>
            <w:tcW w:w="5232" w:type="dxa"/>
            <w:gridSpan w:val="2"/>
            <w:tcBorders>
              <w:top w:val="nil"/>
              <w:left w:val="nil"/>
              <w:bottom w:val="nil"/>
              <w:right w:val="nil"/>
            </w:tcBorders>
          </w:tcPr>
          <w:p w14:paraId="56F95805" w14:textId="77777777" w:rsidR="00AA2CEF" w:rsidRPr="006B2E8B" w:rsidRDefault="00AA2CEF" w:rsidP="00AA2CEF">
            <w:pPr>
              <w:pStyle w:val="cTableText"/>
            </w:pPr>
            <w:r w:rsidRPr="006B2E8B">
              <w:t>Not required.</w:t>
            </w:r>
          </w:p>
        </w:tc>
      </w:tr>
      <w:tr w:rsidR="00AA2CEF" w:rsidRPr="006B2E8B" w14:paraId="45041A6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7CC9BD58" w14:textId="77777777" w:rsidR="00AA2CEF" w:rsidRPr="006B2E8B" w:rsidRDefault="00AA2CEF" w:rsidP="00AA2CEF">
            <w:pPr>
              <w:pStyle w:val="cTableText"/>
            </w:pPr>
            <w:r w:rsidRPr="006B2E8B">
              <w:tab/>
              <w:t>SEX</w:t>
            </w:r>
          </w:p>
        </w:tc>
        <w:tc>
          <w:tcPr>
            <w:tcW w:w="5232" w:type="dxa"/>
            <w:gridSpan w:val="2"/>
            <w:tcBorders>
              <w:top w:val="nil"/>
              <w:left w:val="nil"/>
              <w:bottom w:val="nil"/>
              <w:right w:val="nil"/>
            </w:tcBorders>
          </w:tcPr>
          <w:p w14:paraId="6271DBA4" w14:textId="77777777" w:rsidR="00AA2CEF" w:rsidRPr="006B2E8B" w:rsidRDefault="00AA2CEF" w:rsidP="00AA2CEF">
            <w:pPr>
              <w:pStyle w:val="cTableText"/>
            </w:pPr>
            <w:r w:rsidRPr="006B2E8B">
              <w:t>Not required.</w:t>
            </w:r>
          </w:p>
        </w:tc>
      </w:tr>
      <w:tr w:rsidR="00AA2CEF" w:rsidRPr="006B2E8B" w14:paraId="03E312C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497532D0" w14:textId="77777777" w:rsidR="00AA2CEF" w:rsidRPr="006B2E8B" w:rsidRDefault="00AA2CEF" w:rsidP="00AA2CEF">
            <w:pPr>
              <w:pStyle w:val="cTableText"/>
            </w:pPr>
            <w:r w:rsidRPr="006B2E8B">
              <w:t>b.</w:t>
            </w:r>
            <w:r w:rsidRPr="006B2E8B">
              <w:tab/>
              <w:t>OTHER CLAIM ID NUMBER</w:t>
            </w:r>
          </w:p>
        </w:tc>
        <w:tc>
          <w:tcPr>
            <w:tcW w:w="5232" w:type="dxa"/>
            <w:gridSpan w:val="2"/>
            <w:tcBorders>
              <w:top w:val="nil"/>
              <w:left w:val="nil"/>
              <w:bottom w:val="nil"/>
              <w:right w:val="nil"/>
            </w:tcBorders>
          </w:tcPr>
          <w:p w14:paraId="302B3027" w14:textId="77777777" w:rsidR="00AA2CEF" w:rsidRPr="006B2E8B" w:rsidRDefault="00AA2CEF" w:rsidP="00AA2CEF">
            <w:pPr>
              <w:pStyle w:val="cTableText"/>
            </w:pPr>
            <w:r w:rsidRPr="006B2E8B">
              <w:t>Not required.</w:t>
            </w:r>
          </w:p>
        </w:tc>
      </w:tr>
      <w:tr w:rsidR="00AA2CEF" w:rsidRPr="006B2E8B" w14:paraId="5E50DC7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3954F2A7" w14:textId="77777777" w:rsidR="00AA2CEF" w:rsidRPr="006B2E8B" w:rsidRDefault="00AA2CEF" w:rsidP="00AA2CEF">
            <w:pPr>
              <w:pStyle w:val="cTableText"/>
            </w:pPr>
            <w:r w:rsidRPr="006B2E8B">
              <w:t>c.</w:t>
            </w:r>
            <w:r w:rsidRPr="006B2E8B">
              <w:tab/>
              <w:t>INSURANCE PLAN NAME OR PROGRAM NAME</w:t>
            </w:r>
          </w:p>
        </w:tc>
        <w:tc>
          <w:tcPr>
            <w:tcW w:w="5232" w:type="dxa"/>
            <w:gridSpan w:val="2"/>
            <w:tcBorders>
              <w:top w:val="nil"/>
              <w:left w:val="nil"/>
              <w:bottom w:val="nil"/>
              <w:right w:val="nil"/>
            </w:tcBorders>
          </w:tcPr>
          <w:p w14:paraId="0AEDC2A5" w14:textId="77777777" w:rsidR="00AA2CEF" w:rsidRPr="006B2E8B" w:rsidRDefault="00AA2CEF" w:rsidP="00AA2CEF">
            <w:pPr>
              <w:pStyle w:val="cTableText"/>
            </w:pPr>
            <w:r w:rsidRPr="006B2E8B">
              <w:t>Not required.</w:t>
            </w:r>
          </w:p>
        </w:tc>
      </w:tr>
      <w:tr w:rsidR="00AA2CEF" w:rsidRPr="006B2E8B" w14:paraId="42389B1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5F27186C" w14:textId="77777777" w:rsidR="00AA2CEF" w:rsidRPr="006B2E8B" w:rsidRDefault="00AA2CEF" w:rsidP="00AA2CEF">
            <w:pPr>
              <w:pStyle w:val="cTableText"/>
            </w:pPr>
            <w:r w:rsidRPr="006B2E8B">
              <w:t>d.</w:t>
            </w:r>
            <w:r w:rsidRPr="006B2E8B">
              <w:tab/>
              <w:t>IS THERE ANOTHER HEALTH BENEFIT PLAN?</w:t>
            </w:r>
          </w:p>
        </w:tc>
        <w:tc>
          <w:tcPr>
            <w:tcW w:w="5232" w:type="dxa"/>
            <w:gridSpan w:val="2"/>
            <w:tcBorders>
              <w:top w:val="nil"/>
              <w:left w:val="nil"/>
              <w:bottom w:val="single" w:sz="6" w:space="0" w:color="000000"/>
              <w:right w:val="nil"/>
            </w:tcBorders>
          </w:tcPr>
          <w:p w14:paraId="79E0DAD8" w14:textId="77777777" w:rsidR="00AA2CEF" w:rsidRPr="006B2E8B" w:rsidRDefault="00AA2CEF" w:rsidP="00AA2CEF">
            <w:pPr>
              <w:pStyle w:val="cTableText"/>
            </w:pPr>
            <w:r w:rsidRPr="006B2E8B">
              <w:t>When private or other insurance may or will cover any of the services, check YES and complete items 9, 9a and 9d.  Only one box can be marked.</w:t>
            </w:r>
          </w:p>
        </w:tc>
      </w:tr>
      <w:tr w:rsidR="00AA2CEF" w:rsidRPr="006B2E8B" w14:paraId="470ECEE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10A27655" w14:textId="77777777" w:rsidR="00AA2CEF" w:rsidRPr="006B2E8B" w:rsidRDefault="00AA2CEF" w:rsidP="00AA2CEF">
            <w:pPr>
              <w:pStyle w:val="cTableText"/>
            </w:pPr>
            <w:r w:rsidRPr="006B2E8B">
              <w:t>12.</w:t>
            </w:r>
            <w:r w:rsidRPr="006B2E8B">
              <w:tab/>
              <w:t>PATIENT’S OR AUTHORIZED PERSON’S SIGNATURE</w:t>
            </w:r>
          </w:p>
        </w:tc>
        <w:tc>
          <w:tcPr>
            <w:tcW w:w="5232" w:type="dxa"/>
            <w:gridSpan w:val="2"/>
            <w:tcBorders>
              <w:top w:val="single" w:sz="6" w:space="0" w:color="000000"/>
              <w:left w:val="nil"/>
              <w:bottom w:val="single" w:sz="6" w:space="0" w:color="000000"/>
              <w:right w:val="nil"/>
            </w:tcBorders>
          </w:tcPr>
          <w:p w14:paraId="43A25E77" w14:textId="77777777" w:rsidR="00AA2CEF" w:rsidRPr="006B2E8B" w:rsidRDefault="00AA2CEF" w:rsidP="00AA2CEF">
            <w:pPr>
              <w:pStyle w:val="cTableText"/>
            </w:pPr>
            <w:r w:rsidRPr="006B2E8B">
              <w:t>Enter “Signature on File,” “SOF” or legal signature.</w:t>
            </w:r>
          </w:p>
        </w:tc>
      </w:tr>
      <w:tr w:rsidR="00AA2CEF" w:rsidRPr="006B2E8B" w14:paraId="3751C45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1E252FD1" w14:textId="77777777" w:rsidR="00AA2CEF" w:rsidRPr="006B2E8B" w:rsidRDefault="00AA2CEF" w:rsidP="00AA2CEF">
            <w:pPr>
              <w:pStyle w:val="cTableText"/>
            </w:pPr>
            <w:r w:rsidRPr="006B2E8B">
              <w:t>13.</w:t>
            </w:r>
            <w:r w:rsidRPr="006B2E8B">
              <w:tab/>
              <w:t>INSURED’S OR AUTHORIZED PERSON’S SIGNATURE</w:t>
            </w:r>
          </w:p>
        </w:tc>
        <w:tc>
          <w:tcPr>
            <w:tcW w:w="5232" w:type="dxa"/>
            <w:gridSpan w:val="2"/>
            <w:tcBorders>
              <w:top w:val="single" w:sz="6" w:space="0" w:color="000000"/>
              <w:left w:val="nil"/>
              <w:bottom w:val="single" w:sz="6" w:space="0" w:color="000000"/>
              <w:right w:val="nil"/>
            </w:tcBorders>
          </w:tcPr>
          <w:p w14:paraId="13A836FA" w14:textId="77777777" w:rsidR="00AA2CEF" w:rsidRPr="006B2E8B" w:rsidRDefault="00AA2CEF" w:rsidP="00AA2CEF">
            <w:pPr>
              <w:pStyle w:val="cTableText"/>
            </w:pPr>
            <w:r w:rsidRPr="006B2E8B">
              <w:t>Enter “Signature on File,” “SOF” or legal signature.</w:t>
            </w:r>
          </w:p>
        </w:tc>
      </w:tr>
      <w:tr w:rsidR="00AA2CEF" w:rsidRPr="006B2E8B" w14:paraId="29BD8F7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56E58422" w14:textId="77777777" w:rsidR="00AA2CEF" w:rsidRPr="006B2E8B" w:rsidRDefault="00AA2CEF" w:rsidP="00AA2CEF">
            <w:pPr>
              <w:pStyle w:val="cTableText"/>
            </w:pPr>
            <w:r w:rsidRPr="006B2E8B">
              <w:lastRenderedPageBreak/>
              <w:t>14.</w:t>
            </w:r>
            <w:r w:rsidRPr="006B2E8B">
              <w:tab/>
              <w:t>DATE OF CURRENT:</w:t>
            </w:r>
          </w:p>
          <w:p w14:paraId="3E0B0057" w14:textId="77777777" w:rsidR="00AA2CEF" w:rsidRPr="006B2E8B" w:rsidRDefault="00AA2CEF" w:rsidP="00AA2CEF">
            <w:pPr>
              <w:pStyle w:val="cTableText"/>
            </w:pPr>
            <w:r w:rsidRPr="006B2E8B">
              <w:t>ILLNESS (First symptom) OR</w:t>
            </w:r>
            <w:r w:rsidRPr="006B2E8B">
              <w:br/>
              <w:t>INJURY (Accident) OR</w:t>
            </w:r>
            <w:r w:rsidRPr="006B2E8B">
              <w:br/>
              <w:t>PREGNANCY (LMP)</w:t>
            </w:r>
          </w:p>
        </w:tc>
        <w:tc>
          <w:tcPr>
            <w:tcW w:w="5232" w:type="dxa"/>
            <w:gridSpan w:val="2"/>
            <w:tcBorders>
              <w:top w:val="single" w:sz="6" w:space="0" w:color="000000"/>
              <w:left w:val="nil"/>
              <w:bottom w:val="single" w:sz="6" w:space="0" w:color="000000"/>
              <w:right w:val="nil"/>
            </w:tcBorders>
          </w:tcPr>
          <w:p w14:paraId="4718EA56" w14:textId="77777777" w:rsidR="00AA2CEF" w:rsidRPr="006B2E8B" w:rsidRDefault="00AA2CEF" w:rsidP="00AA2CEF">
            <w:pPr>
              <w:pStyle w:val="cTableText"/>
            </w:pPr>
            <w:r w:rsidRPr="006B2E8B">
              <w:t>Required when services furnished are related to an accident, whether the accident is recent or in the past.  Date of the accident.</w:t>
            </w:r>
          </w:p>
          <w:p w14:paraId="21E2D231" w14:textId="77777777" w:rsidR="00AA2CEF" w:rsidRPr="006B2E8B" w:rsidRDefault="00AA2CEF" w:rsidP="00AA2CEF">
            <w:pPr>
              <w:pStyle w:val="cTableText"/>
            </w:pPr>
          </w:p>
          <w:p w14:paraId="15A65953" w14:textId="77777777" w:rsidR="00AA2CEF" w:rsidRPr="006B2E8B" w:rsidRDefault="00AA2CEF" w:rsidP="00AA2CEF">
            <w:pPr>
              <w:pStyle w:val="cTableText"/>
            </w:pPr>
            <w:r w:rsidRPr="006B2E8B">
              <w:t>Enter the qualifier to the right of the vertical dotted line.  Use Qualifier 431 Onset of Current Symptoms or Illness; 484 Last Menstrual Period.</w:t>
            </w:r>
          </w:p>
        </w:tc>
      </w:tr>
      <w:tr w:rsidR="00AA2CEF" w:rsidRPr="006B2E8B" w14:paraId="2F78A5F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683642B7" w14:textId="77777777" w:rsidR="00AA2CEF" w:rsidRPr="006B2E8B" w:rsidRDefault="00AA2CEF" w:rsidP="00AA2CEF">
            <w:pPr>
              <w:pStyle w:val="cTableText"/>
            </w:pPr>
            <w:r w:rsidRPr="006B2E8B">
              <w:t>15.</w:t>
            </w:r>
            <w:r w:rsidRPr="006B2E8B">
              <w:tab/>
              <w:t>OTHER DATE</w:t>
            </w:r>
          </w:p>
        </w:tc>
        <w:tc>
          <w:tcPr>
            <w:tcW w:w="5232" w:type="dxa"/>
            <w:gridSpan w:val="2"/>
            <w:tcBorders>
              <w:top w:val="single" w:sz="6" w:space="0" w:color="000000"/>
              <w:left w:val="nil"/>
              <w:bottom w:val="single" w:sz="6" w:space="0" w:color="000000"/>
              <w:right w:val="nil"/>
            </w:tcBorders>
          </w:tcPr>
          <w:p w14:paraId="04AA48F1" w14:textId="77777777" w:rsidR="00AA2CEF" w:rsidRPr="006B2E8B" w:rsidRDefault="00AA2CEF" w:rsidP="00AA2CEF">
            <w:pPr>
              <w:pStyle w:val="cTableText"/>
            </w:pPr>
            <w:r w:rsidRPr="006B2E8B">
              <w:t>Enter another date related to the beneficiary’s condition or treatment.  Enter the qualifier between the left-hand set of vertical, dotted lines.</w:t>
            </w:r>
          </w:p>
          <w:p w14:paraId="13BCEC97" w14:textId="77777777" w:rsidR="00AA2CEF" w:rsidRPr="006B2E8B" w:rsidRDefault="00AA2CEF" w:rsidP="00AA2CEF">
            <w:pPr>
              <w:pStyle w:val="cTableText"/>
            </w:pPr>
            <w:r w:rsidRPr="006B2E8B">
              <w:t>The “Other Date” identifies additional date information about the beneficiary’s condition or treatment.  Use qualifiers:</w:t>
            </w:r>
          </w:p>
          <w:p w14:paraId="51CD28AF" w14:textId="77777777" w:rsidR="00AA2CEF" w:rsidRPr="006B2E8B" w:rsidRDefault="00AA2CEF" w:rsidP="00AA2CEF">
            <w:pPr>
              <w:pStyle w:val="cTableText"/>
            </w:pPr>
            <w:r w:rsidRPr="006B2E8B">
              <w:t>454 Initial Treatment</w:t>
            </w:r>
          </w:p>
          <w:p w14:paraId="469E9485" w14:textId="77777777" w:rsidR="00AA2CEF" w:rsidRPr="006B2E8B" w:rsidRDefault="00AA2CEF" w:rsidP="00AA2CEF">
            <w:pPr>
              <w:pStyle w:val="cTableText"/>
            </w:pPr>
            <w:r w:rsidRPr="006B2E8B">
              <w:t>304 Latest Visit or Consultation</w:t>
            </w:r>
          </w:p>
          <w:p w14:paraId="4CB48F14" w14:textId="77777777" w:rsidR="00AA2CEF" w:rsidRPr="006B2E8B" w:rsidRDefault="00AA2CEF" w:rsidP="00AA2CEF">
            <w:pPr>
              <w:pStyle w:val="cTableText"/>
            </w:pPr>
            <w:r w:rsidRPr="006B2E8B">
              <w:t>453 Acute Manifestation of a Chronic Condition</w:t>
            </w:r>
          </w:p>
          <w:p w14:paraId="45E1C729" w14:textId="77777777" w:rsidR="00AA2CEF" w:rsidRPr="006B2E8B" w:rsidRDefault="00AA2CEF" w:rsidP="00AA2CEF">
            <w:pPr>
              <w:pStyle w:val="cTableText"/>
            </w:pPr>
            <w:r w:rsidRPr="006B2E8B">
              <w:t>439 Accident</w:t>
            </w:r>
          </w:p>
          <w:p w14:paraId="01A24205" w14:textId="77777777" w:rsidR="00AA2CEF" w:rsidRPr="006B2E8B" w:rsidRDefault="00AA2CEF" w:rsidP="00AA2CEF">
            <w:pPr>
              <w:pStyle w:val="cTableText"/>
            </w:pPr>
            <w:r w:rsidRPr="006B2E8B">
              <w:t>455 Last X-Ray</w:t>
            </w:r>
          </w:p>
          <w:p w14:paraId="48CB704A" w14:textId="77777777" w:rsidR="00AA2CEF" w:rsidRPr="006B2E8B" w:rsidRDefault="00AA2CEF" w:rsidP="00AA2CEF">
            <w:pPr>
              <w:pStyle w:val="cTableText"/>
            </w:pPr>
            <w:r w:rsidRPr="006B2E8B">
              <w:t>471 Prescription</w:t>
            </w:r>
          </w:p>
          <w:p w14:paraId="3F9FA2BF" w14:textId="77777777" w:rsidR="00AA2CEF" w:rsidRPr="006B2E8B" w:rsidRDefault="00AA2CEF" w:rsidP="00AA2CEF">
            <w:pPr>
              <w:pStyle w:val="cTableText"/>
            </w:pPr>
            <w:r w:rsidRPr="006B2E8B">
              <w:t>090 Report Start (Assumed Care Date)</w:t>
            </w:r>
          </w:p>
          <w:p w14:paraId="6A3352D9" w14:textId="77777777" w:rsidR="00AA2CEF" w:rsidRPr="006B2E8B" w:rsidRDefault="00AA2CEF" w:rsidP="00AA2CEF">
            <w:pPr>
              <w:pStyle w:val="cTableText"/>
            </w:pPr>
            <w:r w:rsidRPr="006B2E8B">
              <w:t>091 Report End (Relinquished Care Date)</w:t>
            </w:r>
          </w:p>
          <w:p w14:paraId="4DFE4A63" w14:textId="77777777" w:rsidR="00AA2CEF" w:rsidRPr="006B2E8B" w:rsidRDefault="00AA2CEF" w:rsidP="00AA2CEF">
            <w:pPr>
              <w:pStyle w:val="cTableText"/>
            </w:pPr>
            <w:r w:rsidRPr="006B2E8B">
              <w:t>444 First Visit or Consultation</w:t>
            </w:r>
          </w:p>
        </w:tc>
      </w:tr>
      <w:tr w:rsidR="00AA2CEF" w:rsidRPr="006B2E8B" w14:paraId="416B4B2B"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42839AB8" w14:textId="77777777" w:rsidR="00AA2CEF" w:rsidRPr="006B2E8B" w:rsidRDefault="00AA2CEF" w:rsidP="00AA2CEF">
            <w:pPr>
              <w:pStyle w:val="cTableText"/>
            </w:pPr>
            <w:r w:rsidRPr="006B2E8B">
              <w:t>16.</w:t>
            </w:r>
            <w:r w:rsidRPr="006B2E8B">
              <w:tab/>
              <w:t xml:space="preserve">DATES PATIENT UNABLE TO WORK IN CURRENT OCCUPATION </w:t>
            </w:r>
          </w:p>
        </w:tc>
        <w:tc>
          <w:tcPr>
            <w:tcW w:w="5232" w:type="dxa"/>
            <w:gridSpan w:val="2"/>
            <w:tcBorders>
              <w:top w:val="single" w:sz="6" w:space="0" w:color="000000"/>
              <w:left w:val="nil"/>
              <w:bottom w:val="single" w:sz="6" w:space="0" w:color="000000"/>
              <w:right w:val="nil"/>
            </w:tcBorders>
          </w:tcPr>
          <w:p w14:paraId="4DD36234" w14:textId="77777777" w:rsidR="00AA2CEF" w:rsidRPr="006B2E8B" w:rsidRDefault="00AA2CEF" w:rsidP="00AA2CEF">
            <w:pPr>
              <w:pStyle w:val="cTableText"/>
            </w:pPr>
            <w:r w:rsidRPr="006B2E8B">
              <w:t>Not required.</w:t>
            </w:r>
          </w:p>
        </w:tc>
      </w:tr>
      <w:tr w:rsidR="00AA2CEF" w:rsidRPr="006B2E8B" w14:paraId="01E48EE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4C2F8823" w14:textId="77777777" w:rsidR="00AA2CEF" w:rsidRPr="006B2E8B" w:rsidRDefault="00AA2CEF" w:rsidP="00AA2CEF">
            <w:pPr>
              <w:pStyle w:val="cTableText"/>
            </w:pPr>
            <w:r w:rsidRPr="006B2E8B">
              <w:t>17.</w:t>
            </w:r>
            <w:r w:rsidRPr="006B2E8B">
              <w:tab/>
              <w:t>NAME OF REFERRING PROVIDER OR OTHER SOURCE</w:t>
            </w:r>
          </w:p>
        </w:tc>
        <w:tc>
          <w:tcPr>
            <w:tcW w:w="5232" w:type="dxa"/>
            <w:gridSpan w:val="2"/>
            <w:tcBorders>
              <w:top w:val="single" w:sz="6" w:space="0" w:color="000000"/>
              <w:left w:val="nil"/>
              <w:bottom w:val="nil"/>
              <w:right w:val="nil"/>
            </w:tcBorders>
          </w:tcPr>
          <w:p w14:paraId="5686868C" w14:textId="77777777" w:rsidR="00AA2CEF" w:rsidRPr="006B2E8B" w:rsidRDefault="00AA2CEF" w:rsidP="00AA2CEF">
            <w:pPr>
              <w:pStyle w:val="cTableText"/>
            </w:pPr>
            <w:r w:rsidRPr="006B2E8B">
              <w:t>Name and title of referral source, whether an individual (such as a PCP) or a clinic or other facility.</w:t>
            </w:r>
          </w:p>
        </w:tc>
      </w:tr>
      <w:tr w:rsidR="00AA2CEF" w:rsidRPr="006B2E8B" w14:paraId="1CDFC927"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384B699F" w14:textId="77777777" w:rsidR="00AA2CEF" w:rsidRPr="006B2E8B" w:rsidRDefault="00AA2CEF" w:rsidP="00AA2CEF">
            <w:pPr>
              <w:pStyle w:val="cTableText"/>
            </w:pPr>
            <w:r w:rsidRPr="006B2E8B">
              <w:t>17a.</w:t>
            </w:r>
            <w:r w:rsidRPr="006B2E8B">
              <w:tab/>
              <w:t>(blank)</w:t>
            </w:r>
          </w:p>
        </w:tc>
        <w:tc>
          <w:tcPr>
            <w:tcW w:w="5232" w:type="dxa"/>
            <w:gridSpan w:val="2"/>
            <w:tcBorders>
              <w:top w:val="nil"/>
              <w:left w:val="nil"/>
              <w:bottom w:val="nil"/>
              <w:right w:val="nil"/>
            </w:tcBorders>
          </w:tcPr>
          <w:p w14:paraId="401FBE99" w14:textId="77777777" w:rsidR="00AA2CEF" w:rsidRPr="006B2E8B" w:rsidRDefault="00AA2CEF" w:rsidP="00AA2CEF">
            <w:pPr>
              <w:pStyle w:val="cTableText"/>
              <w:rPr>
                <w:rFonts w:cs="Arial"/>
                <w:szCs w:val="21"/>
              </w:rPr>
            </w:pPr>
            <w:r w:rsidRPr="006B2E8B">
              <w:rPr>
                <w:rFonts w:cs="Arial"/>
                <w:szCs w:val="21"/>
              </w:rPr>
              <w:t xml:space="preserve">Not required. </w:t>
            </w:r>
          </w:p>
        </w:tc>
      </w:tr>
      <w:tr w:rsidR="00AA2CEF" w:rsidRPr="006B2E8B" w14:paraId="630EC32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4" w:space="0" w:color="auto"/>
              <w:right w:val="nil"/>
            </w:tcBorders>
          </w:tcPr>
          <w:p w14:paraId="5034A147" w14:textId="77777777" w:rsidR="00AA2CEF" w:rsidRPr="006B2E8B" w:rsidRDefault="00AA2CEF" w:rsidP="00AA2CEF">
            <w:pPr>
              <w:pStyle w:val="cTableText"/>
            </w:pPr>
            <w:r w:rsidRPr="006B2E8B">
              <w:t>17b.</w:t>
            </w:r>
            <w:r w:rsidRPr="006B2E8B">
              <w:tab/>
              <w:t>NPI</w:t>
            </w:r>
          </w:p>
        </w:tc>
        <w:tc>
          <w:tcPr>
            <w:tcW w:w="5232" w:type="dxa"/>
            <w:gridSpan w:val="2"/>
            <w:tcBorders>
              <w:top w:val="nil"/>
              <w:left w:val="nil"/>
              <w:bottom w:val="single" w:sz="4" w:space="0" w:color="auto"/>
              <w:right w:val="nil"/>
            </w:tcBorders>
          </w:tcPr>
          <w:p w14:paraId="0E1BFEE8" w14:textId="77777777" w:rsidR="00AA2CEF" w:rsidRPr="006B2E8B" w:rsidRDefault="00AA2CEF" w:rsidP="00AA2CEF">
            <w:pPr>
              <w:pStyle w:val="cTableText"/>
              <w:rPr>
                <w:rFonts w:cs="Arial"/>
                <w:szCs w:val="21"/>
              </w:rPr>
            </w:pPr>
            <w:r w:rsidRPr="006B2E8B">
              <w:rPr>
                <w:rFonts w:cs="Arial"/>
                <w:szCs w:val="21"/>
              </w:rPr>
              <w:t>Enter NPI of the referring physician.</w:t>
            </w:r>
          </w:p>
        </w:tc>
      </w:tr>
      <w:tr w:rsidR="00AA2CEF" w:rsidRPr="006B2E8B" w14:paraId="36130EF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4" w:space="0" w:color="auto"/>
              <w:left w:val="nil"/>
              <w:bottom w:val="single" w:sz="6" w:space="0" w:color="000000"/>
              <w:right w:val="nil"/>
            </w:tcBorders>
          </w:tcPr>
          <w:p w14:paraId="486183D6" w14:textId="77777777" w:rsidR="00AA2CEF" w:rsidRPr="006B2E8B" w:rsidRDefault="00AA2CEF" w:rsidP="00AA2CEF">
            <w:pPr>
              <w:pStyle w:val="cTableText"/>
            </w:pPr>
            <w:r w:rsidRPr="006B2E8B">
              <w:t>18.</w:t>
            </w:r>
            <w:r w:rsidRPr="006B2E8B">
              <w:tab/>
              <w:t>HOSPITALIZATION DATES RELATED TO CURRENT SERVICES</w:t>
            </w:r>
          </w:p>
        </w:tc>
        <w:tc>
          <w:tcPr>
            <w:tcW w:w="5232" w:type="dxa"/>
            <w:gridSpan w:val="2"/>
            <w:tcBorders>
              <w:top w:val="single" w:sz="4" w:space="0" w:color="auto"/>
              <w:left w:val="nil"/>
              <w:bottom w:val="single" w:sz="6" w:space="0" w:color="000000"/>
              <w:right w:val="nil"/>
            </w:tcBorders>
          </w:tcPr>
          <w:p w14:paraId="600B8C52" w14:textId="77777777" w:rsidR="00AA2CEF" w:rsidRPr="006B2E8B" w:rsidRDefault="00AA2CEF" w:rsidP="00AA2CEF">
            <w:pPr>
              <w:pStyle w:val="cTableText"/>
            </w:pPr>
            <w:r w:rsidRPr="006B2E8B">
              <w:t>When the serving/billing provider’s services charged on this claim are related to a beneficiary’s or participant’s inpatient hospitalization, enter the individual’s admission and discharge dates.  Format: MM/DD/YY.</w:t>
            </w:r>
          </w:p>
        </w:tc>
      </w:tr>
      <w:tr w:rsidR="00AA2CEF" w:rsidRPr="006B2E8B" w14:paraId="1E113B5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wBefore w:w="468" w:type="dxa"/>
          <w:cantSplit/>
        </w:trPr>
        <w:tc>
          <w:tcPr>
            <w:tcW w:w="3622" w:type="dxa"/>
            <w:tcBorders>
              <w:top w:val="single" w:sz="6" w:space="0" w:color="000000"/>
              <w:left w:val="nil"/>
              <w:bottom w:val="nil"/>
              <w:right w:val="nil"/>
            </w:tcBorders>
          </w:tcPr>
          <w:p w14:paraId="1432DAA7" w14:textId="77777777" w:rsidR="00AA2CEF" w:rsidRPr="006B2E8B" w:rsidRDefault="00AA2CEF" w:rsidP="00AA2CEF">
            <w:pPr>
              <w:pStyle w:val="cTableText"/>
            </w:pPr>
            <w:r w:rsidRPr="006B2E8B">
              <w:t>19.</w:t>
            </w:r>
            <w:r w:rsidRPr="006B2E8B">
              <w:tab/>
              <w:t>ADDITIONAL CLAIM INFORMATION</w:t>
            </w:r>
          </w:p>
        </w:tc>
        <w:tc>
          <w:tcPr>
            <w:tcW w:w="5277" w:type="dxa"/>
            <w:gridSpan w:val="4"/>
            <w:tcBorders>
              <w:top w:val="single" w:sz="6" w:space="0" w:color="000000"/>
              <w:left w:val="nil"/>
              <w:bottom w:val="nil"/>
              <w:right w:val="nil"/>
            </w:tcBorders>
          </w:tcPr>
          <w:p w14:paraId="7DFAEADE" w14:textId="77777777" w:rsidR="00AA2CEF" w:rsidRPr="006B2E8B" w:rsidRDefault="00AA2CEF" w:rsidP="00AA2CEF">
            <w:pPr>
              <w:pStyle w:val="cTableText"/>
            </w:pPr>
            <w:r w:rsidRPr="006B2E8B">
              <w:t xml:space="preserve">Identifies additional information about the beneficiary’s condition or the claim.  Enter the appropriate qualifiers describing the identifier.  See </w:t>
            </w:r>
            <w:hyperlink r:id="rId49" w:history="1">
              <w:r w:rsidRPr="006B2E8B">
                <w:rPr>
                  <w:rStyle w:val="Hyperlink"/>
                </w:rPr>
                <w:t>www.nucc.org</w:t>
              </w:r>
            </w:hyperlink>
            <w:r w:rsidRPr="006B2E8B">
              <w:t xml:space="preserve"> for qualifiers.</w:t>
            </w:r>
          </w:p>
        </w:tc>
      </w:tr>
      <w:tr w:rsidR="00AA2CEF" w:rsidRPr="006B2E8B" w14:paraId="7BEA1885"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161D3EDC" w14:textId="77777777" w:rsidR="00AA2CEF" w:rsidRPr="006B2E8B" w:rsidRDefault="00AA2CEF" w:rsidP="00AA2CEF">
            <w:pPr>
              <w:pStyle w:val="cTableText"/>
            </w:pPr>
            <w:r w:rsidRPr="006B2E8B">
              <w:t>20.</w:t>
            </w:r>
            <w:r w:rsidRPr="006B2E8B">
              <w:tab/>
              <w:t>OUTSIDE LAB?</w:t>
            </w:r>
          </w:p>
        </w:tc>
        <w:tc>
          <w:tcPr>
            <w:tcW w:w="5232" w:type="dxa"/>
            <w:gridSpan w:val="2"/>
            <w:tcBorders>
              <w:top w:val="single" w:sz="6" w:space="0" w:color="000000"/>
              <w:left w:val="nil"/>
              <w:bottom w:val="nil"/>
              <w:right w:val="nil"/>
            </w:tcBorders>
          </w:tcPr>
          <w:p w14:paraId="7B014CBE" w14:textId="77777777" w:rsidR="00AA2CEF" w:rsidRPr="006B2E8B" w:rsidRDefault="00AA2CEF" w:rsidP="00AA2CEF">
            <w:pPr>
              <w:pStyle w:val="cTableText"/>
            </w:pPr>
            <w:r w:rsidRPr="006B2E8B">
              <w:t>Not required</w:t>
            </w:r>
          </w:p>
        </w:tc>
      </w:tr>
      <w:tr w:rsidR="00AA2CEF" w:rsidRPr="006B2E8B" w14:paraId="588A086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4" w:space="0" w:color="auto"/>
              <w:right w:val="nil"/>
            </w:tcBorders>
          </w:tcPr>
          <w:p w14:paraId="5EBB9E20" w14:textId="77777777" w:rsidR="00AA2CEF" w:rsidRPr="006B2E8B" w:rsidRDefault="00AA2CEF" w:rsidP="00AA2CEF">
            <w:pPr>
              <w:pStyle w:val="cTableText"/>
            </w:pPr>
            <w:r w:rsidRPr="006B2E8B">
              <w:tab/>
              <w:t>$ CHARGES</w:t>
            </w:r>
          </w:p>
        </w:tc>
        <w:tc>
          <w:tcPr>
            <w:tcW w:w="5232" w:type="dxa"/>
            <w:gridSpan w:val="2"/>
            <w:tcBorders>
              <w:top w:val="nil"/>
              <w:left w:val="nil"/>
              <w:bottom w:val="single" w:sz="4" w:space="0" w:color="auto"/>
              <w:right w:val="nil"/>
            </w:tcBorders>
          </w:tcPr>
          <w:p w14:paraId="5EAE1C8C" w14:textId="77777777" w:rsidR="00AA2CEF" w:rsidRPr="006B2E8B" w:rsidRDefault="00AA2CEF" w:rsidP="00AA2CEF">
            <w:pPr>
              <w:pStyle w:val="cTableText"/>
            </w:pPr>
            <w:r w:rsidRPr="006B2E8B">
              <w:t>Not required.</w:t>
            </w:r>
          </w:p>
        </w:tc>
      </w:tr>
      <w:tr w:rsidR="00AA2CEF" w:rsidRPr="006B2E8B" w14:paraId="6B480C2B"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4" w:space="0" w:color="auto"/>
              <w:left w:val="nil"/>
              <w:bottom w:val="single" w:sz="6" w:space="0" w:color="000000"/>
              <w:right w:val="nil"/>
            </w:tcBorders>
          </w:tcPr>
          <w:p w14:paraId="4271B761" w14:textId="77777777" w:rsidR="00AA2CEF" w:rsidRPr="006B2E8B" w:rsidRDefault="00AA2CEF" w:rsidP="00AA2CEF">
            <w:pPr>
              <w:pStyle w:val="cTableText"/>
            </w:pPr>
            <w:r w:rsidRPr="006B2E8B">
              <w:lastRenderedPageBreak/>
              <w:t>21.</w:t>
            </w:r>
            <w:r w:rsidRPr="006B2E8B">
              <w:tab/>
              <w:t>DIAGNOSIS OR NATURE OF ILLNESS OR INJURY</w:t>
            </w:r>
          </w:p>
        </w:tc>
        <w:tc>
          <w:tcPr>
            <w:tcW w:w="5232" w:type="dxa"/>
            <w:gridSpan w:val="2"/>
            <w:tcBorders>
              <w:top w:val="single" w:sz="4" w:space="0" w:color="auto"/>
              <w:left w:val="nil"/>
              <w:bottom w:val="single" w:sz="6" w:space="0" w:color="000000"/>
              <w:right w:val="nil"/>
            </w:tcBorders>
          </w:tcPr>
          <w:p w14:paraId="1F94DB28" w14:textId="77777777" w:rsidR="00AA2CEF" w:rsidRPr="006B2E8B" w:rsidRDefault="00AA2CEF" w:rsidP="00AA2CEF">
            <w:pPr>
              <w:pStyle w:val="cTableText"/>
            </w:pPr>
            <w:r w:rsidRPr="006B2E8B">
              <w:t>Enter the applicable ICD indicator to identify which version of ICD codes is being reported.</w:t>
            </w:r>
          </w:p>
          <w:p w14:paraId="2CA85BFC" w14:textId="77777777" w:rsidR="00AA2CEF" w:rsidRPr="006B2E8B" w:rsidRDefault="00AA2CEF" w:rsidP="00AA2CEF">
            <w:pPr>
              <w:pStyle w:val="cTableText"/>
            </w:pPr>
            <w:r w:rsidRPr="006B2E8B">
              <w:t>Use “9” for ICD-9-CM.</w:t>
            </w:r>
          </w:p>
          <w:p w14:paraId="51DD8CD7" w14:textId="77777777" w:rsidR="00AA2CEF" w:rsidRPr="006B2E8B" w:rsidRDefault="00AA2CEF" w:rsidP="00AA2CEF">
            <w:pPr>
              <w:pStyle w:val="cTableText"/>
            </w:pPr>
            <w:r w:rsidRPr="006B2E8B">
              <w:t>Use “0” for ICD-10-CM.</w:t>
            </w:r>
          </w:p>
          <w:p w14:paraId="3B70FA15" w14:textId="77777777" w:rsidR="00AA2CEF" w:rsidRPr="006B2E8B" w:rsidRDefault="00AA2CEF" w:rsidP="00AA2CEF">
            <w:pPr>
              <w:pStyle w:val="cTableText"/>
            </w:pPr>
            <w:r w:rsidRPr="006B2E8B">
              <w:t>Enter the indicator between the vertical, dotted lines in the upper right-hand portion of the field.</w:t>
            </w:r>
          </w:p>
          <w:p w14:paraId="7836D9A2" w14:textId="77777777" w:rsidR="00AA2CEF" w:rsidRPr="006B2E8B" w:rsidRDefault="00AA2CEF" w:rsidP="00AA2CEF">
            <w:pPr>
              <w:pStyle w:val="cTableText"/>
            </w:pPr>
            <w:r w:rsidRPr="006B2E8B">
              <w:t xml:space="preserve">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 </w:t>
            </w:r>
          </w:p>
        </w:tc>
      </w:tr>
      <w:tr w:rsidR="00AA2CEF" w:rsidRPr="006B2E8B" w14:paraId="3F2196A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4607B240" w14:textId="77777777" w:rsidR="00AA2CEF" w:rsidRPr="006B2E8B" w:rsidRDefault="00AA2CEF" w:rsidP="00AA2CEF">
            <w:pPr>
              <w:pStyle w:val="cTableText"/>
            </w:pPr>
            <w:r w:rsidRPr="006B2E8B">
              <w:t>22.</w:t>
            </w:r>
            <w:r w:rsidRPr="006B2E8B">
              <w:tab/>
              <w:t>RESUBMISSION CODE</w:t>
            </w:r>
          </w:p>
        </w:tc>
        <w:tc>
          <w:tcPr>
            <w:tcW w:w="5232" w:type="dxa"/>
            <w:gridSpan w:val="2"/>
            <w:tcBorders>
              <w:top w:val="single" w:sz="6" w:space="0" w:color="000000"/>
              <w:left w:val="nil"/>
              <w:bottom w:val="nil"/>
              <w:right w:val="nil"/>
            </w:tcBorders>
          </w:tcPr>
          <w:p w14:paraId="304E18FE" w14:textId="77777777" w:rsidR="00AA2CEF" w:rsidRPr="006B2E8B" w:rsidRDefault="00AA2CEF" w:rsidP="00AA2CEF">
            <w:pPr>
              <w:pStyle w:val="cTableText"/>
            </w:pPr>
            <w:r w:rsidRPr="006B2E8B">
              <w:t>Reserved for future use.</w:t>
            </w:r>
          </w:p>
        </w:tc>
      </w:tr>
      <w:tr w:rsidR="00AA2CEF" w:rsidRPr="006B2E8B" w14:paraId="59C71F2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6" w:space="0" w:color="000000"/>
              <w:right w:val="nil"/>
            </w:tcBorders>
          </w:tcPr>
          <w:p w14:paraId="069D37FF" w14:textId="77777777" w:rsidR="00AA2CEF" w:rsidRPr="006B2E8B" w:rsidRDefault="00AA2CEF" w:rsidP="00AA2CEF">
            <w:pPr>
              <w:pStyle w:val="cTableText"/>
            </w:pPr>
            <w:r w:rsidRPr="006B2E8B">
              <w:tab/>
              <w:t>ORIGINAL REF. NO.</w:t>
            </w:r>
          </w:p>
        </w:tc>
        <w:tc>
          <w:tcPr>
            <w:tcW w:w="5232" w:type="dxa"/>
            <w:gridSpan w:val="2"/>
            <w:tcBorders>
              <w:top w:val="nil"/>
              <w:left w:val="nil"/>
              <w:bottom w:val="single" w:sz="6" w:space="0" w:color="000000"/>
              <w:right w:val="nil"/>
            </w:tcBorders>
          </w:tcPr>
          <w:p w14:paraId="5879F55F" w14:textId="77777777" w:rsidR="00AA2CEF" w:rsidRPr="006B2E8B" w:rsidRDefault="00AA2CEF" w:rsidP="00AA2CEF">
            <w:pPr>
              <w:pStyle w:val="cTableText"/>
            </w:pPr>
            <w:r w:rsidRPr="006B2E8B">
              <w:t xml:space="preserve">Any data or other information listed in this field does not/will not adjust, </w:t>
            </w:r>
            <w:proofErr w:type="gramStart"/>
            <w:r w:rsidRPr="006B2E8B">
              <w:t>void</w:t>
            </w:r>
            <w:proofErr w:type="gramEnd"/>
            <w:r w:rsidRPr="006B2E8B">
              <w:t xml:space="preserve"> or otherwise modify any previous payment or denial of a claim.  Claim payment adjustments, voids and refunds must follow previously established processes in policy.</w:t>
            </w:r>
          </w:p>
        </w:tc>
      </w:tr>
      <w:tr w:rsidR="00AA2CEF" w:rsidRPr="006B2E8B" w14:paraId="6F7D9571"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47029BEB" w14:textId="77777777" w:rsidR="00AA2CEF" w:rsidRPr="006B2E8B" w:rsidRDefault="00AA2CEF" w:rsidP="00AA2CEF">
            <w:pPr>
              <w:pStyle w:val="cTableText"/>
            </w:pPr>
            <w:r w:rsidRPr="006B2E8B">
              <w:t>23.</w:t>
            </w:r>
            <w:r w:rsidRPr="006B2E8B">
              <w:tab/>
              <w:t>PRIOR AUTHORIZATION NUMBER</w:t>
            </w:r>
          </w:p>
        </w:tc>
        <w:tc>
          <w:tcPr>
            <w:tcW w:w="5232" w:type="dxa"/>
            <w:gridSpan w:val="2"/>
            <w:tcBorders>
              <w:top w:val="single" w:sz="6" w:space="0" w:color="000000"/>
              <w:left w:val="nil"/>
              <w:bottom w:val="single" w:sz="6" w:space="0" w:color="000000"/>
              <w:right w:val="nil"/>
            </w:tcBorders>
          </w:tcPr>
          <w:p w14:paraId="4A24592B" w14:textId="77777777" w:rsidR="00AA2CEF" w:rsidRPr="006B2E8B" w:rsidRDefault="00AA2CEF" w:rsidP="00AA2CEF">
            <w:pPr>
              <w:pStyle w:val="cTableText"/>
            </w:pPr>
            <w:r w:rsidRPr="006B2E8B">
              <w:t>The prior authorization or benefit extension control number if applicable.</w:t>
            </w:r>
          </w:p>
        </w:tc>
      </w:tr>
      <w:tr w:rsidR="00AA2CEF" w:rsidRPr="006B2E8B" w14:paraId="4D480F3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3FDB138D" w14:textId="77777777" w:rsidR="00AA2CEF" w:rsidRPr="006B2E8B" w:rsidRDefault="00AA2CEF" w:rsidP="00AA2CEF">
            <w:pPr>
              <w:pStyle w:val="cTableText"/>
            </w:pPr>
            <w:r w:rsidRPr="006B2E8B">
              <w:t>24A.</w:t>
            </w:r>
            <w:r w:rsidRPr="006B2E8B">
              <w:tab/>
              <w:t>DATE(S) OF SERVICE</w:t>
            </w:r>
          </w:p>
        </w:tc>
        <w:tc>
          <w:tcPr>
            <w:tcW w:w="5232" w:type="dxa"/>
            <w:gridSpan w:val="2"/>
            <w:tcBorders>
              <w:top w:val="single" w:sz="6" w:space="0" w:color="000000"/>
              <w:left w:val="nil"/>
              <w:bottom w:val="nil"/>
              <w:right w:val="nil"/>
            </w:tcBorders>
          </w:tcPr>
          <w:p w14:paraId="5289D9AB" w14:textId="77777777" w:rsidR="00AA2CEF" w:rsidRPr="006B2E8B" w:rsidRDefault="00AA2CEF" w:rsidP="00AA2CEF">
            <w:pPr>
              <w:pStyle w:val="cTableText"/>
            </w:pPr>
            <w:r w:rsidRPr="006B2E8B">
              <w:t>The “from” and “to” dates of service for each billed service.  Format: MM/DD/YY.</w:t>
            </w:r>
          </w:p>
          <w:p w14:paraId="0D705FF9" w14:textId="77777777" w:rsidR="00AA2CEF" w:rsidRPr="006B2E8B" w:rsidRDefault="00AA2CEF" w:rsidP="00AA2CEF">
            <w:pPr>
              <w:pStyle w:val="cTableText"/>
            </w:pPr>
            <w:r w:rsidRPr="006B2E8B">
              <w:t>1.</w:t>
            </w:r>
            <w:r w:rsidRPr="006B2E8B">
              <w:tab/>
              <w:t>On a single claim detail (one charge on one line), bill only for services provided within a single calendar month.</w:t>
            </w:r>
          </w:p>
          <w:p w14:paraId="2B1E87AF" w14:textId="77777777" w:rsidR="00AA2CEF" w:rsidRPr="006B2E8B" w:rsidRDefault="00AA2CEF" w:rsidP="00AA2CEF">
            <w:pPr>
              <w:pStyle w:val="cTableText"/>
            </w:pPr>
            <w:r w:rsidRPr="006B2E8B">
              <w:t>2.</w:t>
            </w:r>
            <w:r w:rsidRPr="006B2E8B">
              <w:tab/>
              <w:t xml:space="preserve">Providers may bill on the same claim detail for two or more sequential dates of service within the same calendar month when the provider furnished equal amounts of the service on each day of the date sequence. </w:t>
            </w:r>
          </w:p>
        </w:tc>
      </w:tr>
      <w:tr w:rsidR="00AA2CEF" w:rsidRPr="006B2E8B" w14:paraId="1C330A83"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607C146E" w14:textId="77777777" w:rsidR="00AA2CEF" w:rsidRPr="006B2E8B" w:rsidRDefault="00AA2CEF" w:rsidP="00AA2CEF">
            <w:pPr>
              <w:pStyle w:val="cTableText"/>
            </w:pPr>
            <w:r w:rsidRPr="006B2E8B">
              <w:t>B.</w:t>
            </w:r>
            <w:r w:rsidRPr="006B2E8B">
              <w:tab/>
              <w:t>PLACE OF SERVICE</w:t>
            </w:r>
          </w:p>
        </w:tc>
        <w:tc>
          <w:tcPr>
            <w:tcW w:w="5232" w:type="dxa"/>
            <w:gridSpan w:val="2"/>
            <w:tcBorders>
              <w:top w:val="nil"/>
              <w:left w:val="nil"/>
              <w:bottom w:val="nil"/>
              <w:right w:val="nil"/>
            </w:tcBorders>
          </w:tcPr>
          <w:p w14:paraId="1328B84D" w14:textId="77777777" w:rsidR="00AA2CEF" w:rsidRPr="006B2E8B" w:rsidRDefault="00AA2CEF" w:rsidP="00AA2CEF">
            <w:pPr>
              <w:pStyle w:val="cTableText"/>
            </w:pPr>
            <w:r w:rsidRPr="006B2E8B">
              <w:t>Two-digit national standard place of service code.</w:t>
            </w:r>
          </w:p>
        </w:tc>
      </w:tr>
      <w:tr w:rsidR="00AA2CEF" w:rsidRPr="006B2E8B" w14:paraId="7C31C15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6D270154" w14:textId="77777777" w:rsidR="00AA2CEF" w:rsidRPr="006B2E8B" w:rsidRDefault="00AA2CEF" w:rsidP="00AA2CEF">
            <w:pPr>
              <w:pStyle w:val="cTableText"/>
            </w:pPr>
            <w:r w:rsidRPr="006B2E8B">
              <w:t>C.</w:t>
            </w:r>
            <w:r w:rsidRPr="006B2E8B">
              <w:tab/>
              <w:t xml:space="preserve">EMG </w:t>
            </w:r>
          </w:p>
        </w:tc>
        <w:tc>
          <w:tcPr>
            <w:tcW w:w="5232" w:type="dxa"/>
            <w:gridSpan w:val="2"/>
            <w:tcBorders>
              <w:top w:val="nil"/>
              <w:left w:val="nil"/>
              <w:bottom w:val="nil"/>
              <w:right w:val="nil"/>
            </w:tcBorders>
          </w:tcPr>
          <w:p w14:paraId="0C6AE722" w14:textId="77777777" w:rsidR="00AA2CEF" w:rsidRPr="006B2E8B" w:rsidRDefault="00AA2CEF" w:rsidP="00AA2CEF">
            <w:pPr>
              <w:pStyle w:val="cTableText"/>
            </w:pPr>
            <w:r w:rsidRPr="006B2E8B">
              <w:t>Enter “Y” for “Yes” or leave blank if “No.”  EMG identifies if the service was an emergency.</w:t>
            </w:r>
          </w:p>
        </w:tc>
      </w:tr>
      <w:tr w:rsidR="00AA2CEF" w:rsidRPr="006B2E8B" w14:paraId="087909E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BD22296" w14:textId="77777777" w:rsidR="00AA2CEF" w:rsidRPr="006B2E8B" w:rsidRDefault="00AA2CEF" w:rsidP="00AA2CEF">
            <w:pPr>
              <w:pStyle w:val="cTableText"/>
            </w:pPr>
            <w:r w:rsidRPr="006B2E8B">
              <w:t>D.</w:t>
            </w:r>
            <w:r w:rsidRPr="006B2E8B">
              <w:tab/>
              <w:t>PROCEDURES, SERVICES, OR SUPPLIES</w:t>
            </w:r>
          </w:p>
        </w:tc>
        <w:tc>
          <w:tcPr>
            <w:tcW w:w="5232" w:type="dxa"/>
            <w:gridSpan w:val="2"/>
            <w:tcBorders>
              <w:top w:val="nil"/>
              <w:left w:val="nil"/>
              <w:bottom w:val="nil"/>
              <w:right w:val="nil"/>
            </w:tcBorders>
          </w:tcPr>
          <w:p w14:paraId="6785862B" w14:textId="77777777" w:rsidR="00AA2CEF" w:rsidRPr="006B2E8B" w:rsidRDefault="00AA2CEF" w:rsidP="00AA2CEF">
            <w:pPr>
              <w:pStyle w:val="cTableText"/>
            </w:pPr>
          </w:p>
        </w:tc>
      </w:tr>
      <w:tr w:rsidR="00AA2CEF" w:rsidRPr="006B2E8B" w14:paraId="79F8E74F"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267C7938" w14:textId="77777777" w:rsidR="00AA2CEF" w:rsidRPr="006B2E8B" w:rsidRDefault="00AA2CEF" w:rsidP="00AA2CEF">
            <w:pPr>
              <w:pStyle w:val="cTableText"/>
              <w:rPr>
                <w:noProof/>
              </w:rPr>
            </w:pPr>
            <w:r w:rsidRPr="006B2E8B">
              <w:rPr>
                <w:noProof/>
              </w:rPr>
              <w:tab/>
              <w:t>CPT/HCPCS</w:t>
            </w:r>
          </w:p>
        </w:tc>
        <w:tc>
          <w:tcPr>
            <w:tcW w:w="5232" w:type="dxa"/>
            <w:gridSpan w:val="2"/>
            <w:tcBorders>
              <w:top w:val="nil"/>
              <w:left w:val="nil"/>
              <w:bottom w:val="nil"/>
              <w:right w:val="nil"/>
            </w:tcBorders>
          </w:tcPr>
          <w:p w14:paraId="10431E95" w14:textId="77777777" w:rsidR="00AA2CEF" w:rsidRPr="006B2E8B" w:rsidRDefault="00AA2CEF" w:rsidP="00AA2CEF">
            <w:pPr>
              <w:pStyle w:val="cTableText"/>
            </w:pPr>
            <w:r w:rsidRPr="006B2E8B">
              <w:t>One CPT or HCPCS procedure code for each detail.</w:t>
            </w:r>
          </w:p>
        </w:tc>
      </w:tr>
      <w:tr w:rsidR="00AA2CEF" w:rsidRPr="006B2E8B" w14:paraId="3767665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CCEAFD8" w14:textId="77777777" w:rsidR="00AA2CEF" w:rsidRPr="006B2E8B" w:rsidRDefault="00AA2CEF" w:rsidP="00AA2CEF">
            <w:pPr>
              <w:pStyle w:val="cTableText"/>
              <w:rPr>
                <w:noProof/>
              </w:rPr>
            </w:pPr>
            <w:r w:rsidRPr="006B2E8B">
              <w:rPr>
                <w:noProof/>
              </w:rPr>
              <w:tab/>
              <w:t>MODIFIER</w:t>
            </w:r>
          </w:p>
        </w:tc>
        <w:tc>
          <w:tcPr>
            <w:tcW w:w="5232" w:type="dxa"/>
            <w:gridSpan w:val="2"/>
            <w:tcBorders>
              <w:top w:val="nil"/>
              <w:left w:val="nil"/>
              <w:bottom w:val="nil"/>
              <w:right w:val="nil"/>
            </w:tcBorders>
          </w:tcPr>
          <w:p w14:paraId="003CCBE9" w14:textId="77777777" w:rsidR="00AA2CEF" w:rsidRPr="006B2E8B" w:rsidRDefault="00AA2CEF" w:rsidP="00AA2CEF">
            <w:pPr>
              <w:pStyle w:val="cTableText"/>
            </w:pPr>
            <w:r w:rsidRPr="006B2E8B">
              <w:t>Modifier(s) if applicable.</w:t>
            </w:r>
          </w:p>
        </w:tc>
      </w:tr>
      <w:tr w:rsidR="00AA2CEF" w:rsidRPr="006B2E8B" w14:paraId="7851B55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14CDD008" w14:textId="77777777" w:rsidR="00AA2CEF" w:rsidRPr="006B2E8B" w:rsidRDefault="00AA2CEF" w:rsidP="00AA2CEF">
            <w:pPr>
              <w:pStyle w:val="cTableText"/>
            </w:pPr>
            <w:r w:rsidRPr="006B2E8B">
              <w:t>E.</w:t>
            </w:r>
            <w:r w:rsidRPr="006B2E8B">
              <w:tab/>
              <w:t>DIAGNOSIS POINTER</w:t>
            </w:r>
          </w:p>
        </w:tc>
        <w:tc>
          <w:tcPr>
            <w:tcW w:w="5232" w:type="dxa"/>
            <w:gridSpan w:val="2"/>
            <w:tcBorders>
              <w:top w:val="nil"/>
              <w:left w:val="nil"/>
              <w:bottom w:val="nil"/>
              <w:right w:val="nil"/>
            </w:tcBorders>
          </w:tcPr>
          <w:p w14:paraId="36B27C27" w14:textId="77777777" w:rsidR="00AA2CEF" w:rsidRPr="006B2E8B" w:rsidRDefault="00AA2CEF" w:rsidP="00AA2CEF">
            <w:pPr>
              <w:pStyle w:val="cTableText"/>
            </w:pPr>
            <w:r w:rsidRPr="006B2E8B">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AA2CEF" w:rsidRPr="006B2E8B" w14:paraId="414EE9EF"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71A5B366" w14:textId="77777777" w:rsidR="00AA2CEF" w:rsidRPr="006B2E8B" w:rsidRDefault="00AA2CEF" w:rsidP="00AA2CEF">
            <w:pPr>
              <w:pStyle w:val="cTableText"/>
            </w:pPr>
            <w:r w:rsidRPr="006B2E8B">
              <w:lastRenderedPageBreak/>
              <w:t>F.</w:t>
            </w:r>
            <w:r w:rsidRPr="006B2E8B">
              <w:tab/>
              <w:t>$ CHARGES</w:t>
            </w:r>
          </w:p>
        </w:tc>
        <w:tc>
          <w:tcPr>
            <w:tcW w:w="5232" w:type="dxa"/>
            <w:gridSpan w:val="2"/>
            <w:tcBorders>
              <w:top w:val="nil"/>
              <w:left w:val="nil"/>
              <w:bottom w:val="nil"/>
              <w:right w:val="nil"/>
            </w:tcBorders>
          </w:tcPr>
          <w:p w14:paraId="7CE03B46" w14:textId="77777777" w:rsidR="00AA2CEF" w:rsidRPr="006B2E8B" w:rsidRDefault="00AA2CEF" w:rsidP="00AA2CEF">
            <w:pPr>
              <w:pStyle w:val="cTableText"/>
            </w:pPr>
            <w:r w:rsidRPr="006B2E8B">
              <w:t xml:space="preserve">The full charge for the service(s) totaled in </w:t>
            </w:r>
            <w:proofErr w:type="gramStart"/>
            <w:r w:rsidRPr="006B2E8B">
              <w:t>the detail</w:t>
            </w:r>
            <w:proofErr w:type="gramEnd"/>
            <w:r w:rsidRPr="006B2E8B">
              <w:t>.  This charge must be the usual charge to any client, patient, or other beneficiary of the provider’s services.</w:t>
            </w:r>
          </w:p>
        </w:tc>
      </w:tr>
      <w:tr w:rsidR="00AA2CEF" w:rsidRPr="006B2E8B" w14:paraId="5EA78D5B"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0B715942" w14:textId="77777777" w:rsidR="00AA2CEF" w:rsidRPr="006B2E8B" w:rsidRDefault="00AA2CEF" w:rsidP="00AA2CEF">
            <w:pPr>
              <w:pStyle w:val="cTableText"/>
            </w:pPr>
            <w:r w:rsidRPr="006B2E8B">
              <w:t>G.</w:t>
            </w:r>
            <w:r w:rsidRPr="006B2E8B">
              <w:tab/>
              <w:t>DAYS OR UNITS</w:t>
            </w:r>
          </w:p>
        </w:tc>
        <w:tc>
          <w:tcPr>
            <w:tcW w:w="5232" w:type="dxa"/>
            <w:gridSpan w:val="2"/>
            <w:tcBorders>
              <w:top w:val="nil"/>
              <w:left w:val="nil"/>
              <w:bottom w:val="nil"/>
              <w:right w:val="nil"/>
            </w:tcBorders>
          </w:tcPr>
          <w:p w14:paraId="1679EDE1" w14:textId="77777777" w:rsidR="00AA2CEF" w:rsidRPr="006B2E8B" w:rsidRDefault="00AA2CEF" w:rsidP="00AA2CEF">
            <w:pPr>
              <w:pStyle w:val="cTableText"/>
            </w:pPr>
            <w:r w:rsidRPr="006B2E8B">
              <w:t>The units (in whole numbers) of service(s) provided during the period indicated in Field 24A of the detail.</w:t>
            </w:r>
          </w:p>
        </w:tc>
      </w:tr>
      <w:tr w:rsidR="00AA2CEF" w:rsidRPr="006B2E8B" w14:paraId="2E71016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CE6B3E0" w14:textId="77777777" w:rsidR="00AA2CEF" w:rsidRPr="006B2E8B" w:rsidRDefault="00AA2CEF" w:rsidP="00AA2CEF">
            <w:pPr>
              <w:pStyle w:val="cTableText"/>
            </w:pPr>
            <w:r w:rsidRPr="006B2E8B">
              <w:t>H.</w:t>
            </w:r>
            <w:r w:rsidRPr="006B2E8B">
              <w:tab/>
              <w:t>EPSDT/Family Plan</w:t>
            </w:r>
          </w:p>
        </w:tc>
        <w:tc>
          <w:tcPr>
            <w:tcW w:w="5232" w:type="dxa"/>
            <w:gridSpan w:val="2"/>
            <w:tcBorders>
              <w:top w:val="nil"/>
              <w:left w:val="nil"/>
              <w:bottom w:val="nil"/>
              <w:right w:val="nil"/>
            </w:tcBorders>
          </w:tcPr>
          <w:p w14:paraId="198F6DB9" w14:textId="77777777" w:rsidR="00AA2CEF" w:rsidRPr="006B2E8B" w:rsidRDefault="00AA2CEF" w:rsidP="00AA2CEF">
            <w:pPr>
              <w:pStyle w:val="cTableText"/>
            </w:pPr>
            <w:r w:rsidRPr="006B2E8B">
              <w:t>Enter E if the services resulted from a Child Health Services (EPSDT) screening/referral.</w:t>
            </w:r>
          </w:p>
        </w:tc>
      </w:tr>
      <w:tr w:rsidR="00AA2CEF" w:rsidRPr="006B2E8B" w14:paraId="32123476"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4050039E" w14:textId="77777777" w:rsidR="00AA2CEF" w:rsidRPr="006B2E8B" w:rsidRDefault="00AA2CEF" w:rsidP="00AA2CEF">
            <w:pPr>
              <w:pStyle w:val="cTableText"/>
            </w:pPr>
            <w:r w:rsidRPr="006B2E8B">
              <w:t>I.</w:t>
            </w:r>
            <w:r w:rsidRPr="006B2E8B">
              <w:tab/>
              <w:t>ID QUAL</w:t>
            </w:r>
          </w:p>
        </w:tc>
        <w:tc>
          <w:tcPr>
            <w:tcW w:w="5232" w:type="dxa"/>
            <w:gridSpan w:val="2"/>
            <w:tcBorders>
              <w:top w:val="nil"/>
              <w:left w:val="nil"/>
              <w:bottom w:val="nil"/>
              <w:right w:val="nil"/>
            </w:tcBorders>
          </w:tcPr>
          <w:p w14:paraId="58A7A282" w14:textId="77777777" w:rsidR="00AA2CEF" w:rsidRPr="006B2E8B" w:rsidRDefault="00AA2CEF" w:rsidP="00AA2CEF">
            <w:pPr>
              <w:pStyle w:val="cTableText"/>
            </w:pPr>
            <w:r w:rsidRPr="006B2E8B">
              <w:t>Not required.</w:t>
            </w:r>
          </w:p>
        </w:tc>
      </w:tr>
      <w:tr w:rsidR="00AA2CEF" w:rsidRPr="006B2E8B" w14:paraId="09C6FD9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7F736788" w14:textId="77777777" w:rsidR="00AA2CEF" w:rsidRPr="006B2E8B" w:rsidRDefault="00AA2CEF" w:rsidP="00AA2CEF">
            <w:pPr>
              <w:pStyle w:val="cTableText"/>
            </w:pPr>
            <w:r w:rsidRPr="006B2E8B">
              <w:t>J.</w:t>
            </w:r>
            <w:r w:rsidRPr="006B2E8B">
              <w:tab/>
              <w:t>RENDERING PROVIDER ID #</w:t>
            </w:r>
          </w:p>
        </w:tc>
        <w:tc>
          <w:tcPr>
            <w:tcW w:w="5232" w:type="dxa"/>
            <w:gridSpan w:val="2"/>
            <w:tcBorders>
              <w:top w:val="nil"/>
              <w:left w:val="nil"/>
              <w:bottom w:val="nil"/>
              <w:right w:val="nil"/>
            </w:tcBorders>
          </w:tcPr>
          <w:p w14:paraId="0957D65A" w14:textId="77777777" w:rsidR="00AA2CEF" w:rsidRPr="006B2E8B" w:rsidRDefault="00AA2CEF" w:rsidP="00AA2CEF">
            <w:pPr>
              <w:pStyle w:val="cTableText"/>
              <w:rPr>
                <w:rFonts w:cs="Arial"/>
                <w:szCs w:val="21"/>
              </w:rPr>
            </w:pPr>
            <w:r w:rsidRPr="006B2E8B">
              <w:rPr>
                <w:rFonts w:cs="Arial"/>
                <w:szCs w:val="21"/>
              </w:rPr>
              <w:t>Enter the 9-digit Arkansas Medicaid provider ID number of the individual who furnished the services billed for in the detail or</w:t>
            </w:r>
          </w:p>
        </w:tc>
      </w:tr>
      <w:tr w:rsidR="00AA2CEF" w:rsidRPr="006B2E8B" w14:paraId="76CECC3A"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31FC0504" w14:textId="77777777" w:rsidR="00AA2CEF" w:rsidRPr="006B2E8B" w:rsidRDefault="00AA2CEF" w:rsidP="00AA2CEF">
            <w:pPr>
              <w:pStyle w:val="cTableText"/>
            </w:pPr>
            <w:r w:rsidRPr="006B2E8B">
              <w:tab/>
              <w:t>NPI</w:t>
            </w:r>
          </w:p>
        </w:tc>
        <w:tc>
          <w:tcPr>
            <w:tcW w:w="5232" w:type="dxa"/>
            <w:gridSpan w:val="2"/>
            <w:tcBorders>
              <w:top w:val="nil"/>
              <w:left w:val="nil"/>
              <w:bottom w:val="nil"/>
              <w:right w:val="nil"/>
            </w:tcBorders>
          </w:tcPr>
          <w:p w14:paraId="2C593EE6" w14:textId="77777777" w:rsidR="00AA2CEF" w:rsidRPr="006B2E8B" w:rsidRDefault="00AA2CEF" w:rsidP="00AA2CEF">
            <w:pPr>
              <w:pStyle w:val="cTableText"/>
              <w:rPr>
                <w:rFonts w:cs="Arial"/>
                <w:szCs w:val="21"/>
              </w:rPr>
            </w:pPr>
            <w:r w:rsidRPr="006B2E8B">
              <w:rPr>
                <w:rFonts w:cs="Arial"/>
                <w:szCs w:val="21"/>
              </w:rPr>
              <w:t>Enter NPI of the individual who furnished the services billed for in the detail.</w:t>
            </w:r>
          </w:p>
        </w:tc>
      </w:tr>
      <w:tr w:rsidR="00AA2CEF" w:rsidRPr="006B2E8B" w14:paraId="19558A4F"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767DC2A1" w14:textId="77777777" w:rsidR="00AA2CEF" w:rsidRPr="006B2E8B" w:rsidRDefault="00AA2CEF" w:rsidP="00AA2CEF">
            <w:pPr>
              <w:pStyle w:val="cTableText"/>
            </w:pPr>
            <w:r w:rsidRPr="006B2E8B">
              <w:t>25.</w:t>
            </w:r>
            <w:r w:rsidRPr="006B2E8B">
              <w:tab/>
              <w:t>FEDERAL TAX I.D. NUMBER</w:t>
            </w:r>
          </w:p>
        </w:tc>
        <w:tc>
          <w:tcPr>
            <w:tcW w:w="5232" w:type="dxa"/>
            <w:gridSpan w:val="2"/>
            <w:tcBorders>
              <w:top w:val="single" w:sz="6" w:space="0" w:color="000000"/>
              <w:left w:val="nil"/>
              <w:bottom w:val="single" w:sz="6" w:space="0" w:color="000000"/>
              <w:right w:val="nil"/>
            </w:tcBorders>
          </w:tcPr>
          <w:p w14:paraId="51A09A8A" w14:textId="77777777" w:rsidR="00AA2CEF" w:rsidRPr="006B2E8B" w:rsidRDefault="00AA2CEF" w:rsidP="00AA2CEF">
            <w:pPr>
              <w:pStyle w:val="cTableText"/>
            </w:pPr>
            <w:r w:rsidRPr="006B2E8B">
              <w:t>Not required.  This information is carried in the provider’s Medicaid file.  If it changes, please contact Provider Enrollment.</w:t>
            </w:r>
          </w:p>
        </w:tc>
      </w:tr>
      <w:tr w:rsidR="00AA2CEF" w:rsidRPr="006B2E8B" w14:paraId="1F5A71AC"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01A7BAF1" w14:textId="77777777" w:rsidR="00AA2CEF" w:rsidRPr="006B2E8B" w:rsidRDefault="00AA2CEF" w:rsidP="00AA2CEF">
            <w:pPr>
              <w:pStyle w:val="cTableText"/>
            </w:pPr>
            <w:r w:rsidRPr="006B2E8B">
              <w:t>26.</w:t>
            </w:r>
            <w:r w:rsidRPr="006B2E8B">
              <w:tab/>
              <w:t>PATIENT’S ACCOUNT N O.</w:t>
            </w:r>
          </w:p>
        </w:tc>
        <w:tc>
          <w:tcPr>
            <w:tcW w:w="5232" w:type="dxa"/>
            <w:gridSpan w:val="2"/>
            <w:tcBorders>
              <w:top w:val="single" w:sz="6" w:space="0" w:color="000000"/>
              <w:left w:val="nil"/>
              <w:bottom w:val="single" w:sz="6" w:space="0" w:color="000000"/>
              <w:right w:val="nil"/>
            </w:tcBorders>
          </w:tcPr>
          <w:p w14:paraId="1ABB528B" w14:textId="77777777" w:rsidR="00AA2CEF" w:rsidRPr="006B2E8B" w:rsidRDefault="00AA2CEF" w:rsidP="00AA2CEF">
            <w:pPr>
              <w:pStyle w:val="cTableText"/>
            </w:pPr>
            <w:proofErr w:type="gramStart"/>
            <w:r w:rsidRPr="006B2E8B">
              <w:t>Optional</w:t>
            </w:r>
            <w:proofErr w:type="gramEnd"/>
            <w:r w:rsidRPr="006B2E8B">
              <w:t xml:space="preserve"> entry that may be used for accounting purposes; use up to 16 numeric or alphabetic characters.  This number appears on the Remittance Advice as “MRN.”</w:t>
            </w:r>
          </w:p>
        </w:tc>
      </w:tr>
      <w:tr w:rsidR="00AA2CEF" w:rsidRPr="006B2E8B" w14:paraId="5187617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6BC783EC" w14:textId="77777777" w:rsidR="00AA2CEF" w:rsidRPr="006B2E8B" w:rsidRDefault="00AA2CEF" w:rsidP="00AA2CEF">
            <w:pPr>
              <w:pStyle w:val="cTableText"/>
            </w:pPr>
            <w:r w:rsidRPr="006B2E8B">
              <w:t>27.</w:t>
            </w:r>
            <w:r w:rsidRPr="006B2E8B">
              <w:tab/>
              <w:t>ACCEPT ASSIGNMENT?</w:t>
            </w:r>
          </w:p>
        </w:tc>
        <w:tc>
          <w:tcPr>
            <w:tcW w:w="5232" w:type="dxa"/>
            <w:gridSpan w:val="2"/>
            <w:tcBorders>
              <w:top w:val="single" w:sz="6" w:space="0" w:color="000000"/>
              <w:left w:val="nil"/>
              <w:bottom w:val="single" w:sz="6" w:space="0" w:color="000000"/>
              <w:right w:val="nil"/>
            </w:tcBorders>
          </w:tcPr>
          <w:p w14:paraId="601CF246" w14:textId="77777777" w:rsidR="00AA2CEF" w:rsidRPr="006B2E8B" w:rsidRDefault="00AA2CEF" w:rsidP="00AA2CEF">
            <w:pPr>
              <w:pStyle w:val="cTableText"/>
            </w:pPr>
            <w:r w:rsidRPr="006B2E8B">
              <w:t xml:space="preserve">Not required.  </w:t>
            </w:r>
            <w:proofErr w:type="gramStart"/>
            <w:r w:rsidRPr="006B2E8B">
              <w:t>Assignment is automatically accepted by the provider</w:t>
            </w:r>
            <w:proofErr w:type="gramEnd"/>
            <w:r w:rsidRPr="006B2E8B">
              <w:t xml:space="preserve"> when billing Medicaid.</w:t>
            </w:r>
          </w:p>
        </w:tc>
      </w:tr>
      <w:tr w:rsidR="00AA2CEF" w:rsidRPr="006B2E8B" w14:paraId="2ADD212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51B3CE21" w14:textId="77777777" w:rsidR="00AA2CEF" w:rsidRPr="006B2E8B" w:rsidRDefault="00AA2CEF" w:rsidP="00AA2CEF">
            <w:pPr>
              <w:pStyle w:val="cTableText"/>
            </w:pPr>
            <w:r w:rsidRPr="006B2E8B">
              <w:t>28.</w:t>
            </w:r>
            <w:r w:rsidRPr="006B2E8B">
              <w:tab/>
              <w:t>TOTAL CHARGE</w:t>
            </w:r>
          </w:p>
        </w:tc>
        <w:tc>
          <w:tcPr>
            <w:tcW w:w="5232" w:type="dxa"/>
            <w:gridSpan w:val="2"/>
            <w:tcBorders>
              <w:top w:val="single" w:sz="6" w:space="0" w:color="000000"/>
              <w:left w:val="nil"/>
              <w:bottom w:val="single" w:sz="6" w:space="0" w:color="000000"/>
              <w:right w:val="nil"/>
            </w:tcBorders>
          </w:tcPr>
          <w:p w14:paraId="79F79A08" w14:textId="77777777" w:rsidR="00AA2CEF" w:rsidRPr="006B2E8B" w:rsidRDefault="00AA2CEF" w:rsidP="00AA2CEF">
            <w:pPr>
              <w:pStyle w:val="cTableText"/>
            </w:pPr>
            <w:r w:rsidRPr="006B2E8B">
              <w:t>Total of Column 24F—the sum all charges on the claim.</w:t>
            </w:r>
          </w:p>
        </w:tc>
      </w:tr>
      <w:tr w:rsidR="00AA2CEF" w:rsidRPr="006B2E8B" w14:paraId="05510E30"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004D1BDA" w14:textId="77777777" w:rsidR="00AA2CEF" w:rsidRPr="006B2E8B" w:rsidRDefault="00AA2CEF" w:rsidP="00AA2CEF">
            <w:pPr>
              <w:pStyle w:val="cTableText"/>
            </w:pPr>
            <w:r w:rsidRPr="006B2E8B">
              <w:t>29.</w:t>
            </w:r>
            <w:r w:rsidRPr="006B2E8B">
              <w:tab/>
              <w:t>AMOUNT PAID</w:t>
            </w:r>
          </w:p>
        </w:tc>
        <w:tc>
          <w:tcPr>
            <w:tcW w:w="5232" w:type="dxa"/>
            <w:gridSpan w:val="2"/>
            <w:tcBorders>
              <w:top w:val="single" w:sz="6" w:space="0" w:color="000000"/>
              <w:left w:val="nil"/>
              <w:bottom w:val="single" w:sz="6" w:space="0" w:color="000000"/>
              <w:right w:val="nil"/>
            </w:tcBorders>
          </w:tcPr>
          <w:p w14:paraId="29322F65" w14:textId="77777777" w:rsidR="00AA2CEF" w:rsidRPr="006B2E8B" w:rsidRDefault="00AA2CEF" w:rsidP="00AA2CEF">
            <w:pPr>
              <w:pStyle w:val="cTableText"/>
            </w:pPr>
            <w:r w:rsidRPr="006B2E8B">
              <w:t>Enter the total of payments previously received on this claim.  Do not include amounts previously paid by Medicaid.  * Do</w:t>
            </w:r>
            <w:r w:rsidRPr="006B2E8B">
              <w:rPr>
                <w:b/>
              </w:rPr>
              <w:t xml:space="preserve"> not</w:t>
            </w:r>
            <w:r w:rsidRPr="006B2E8B">
              <w:t xml:space="preserve"> include in this total the automatically deducted Medicaid or </w:t>
            </w:r>
            <w:proofErr w:type="spellStart"/>
            <w:r w:rsidRPr="006B2E8B">
              <w:t>ARKids</w:t>
            </w:r>
            <w:proofErr w:type="spellEnd"/>
            <w:r w:rsidRPr="006B2E8B">
              <w:t xml:space="preserve"> First-B co-payments.</w:t>
            </w:r>
          </w:p>
        </w:tc>
      </w:tr>
      <w:tr w:rsidR="00AA2CEF" w:rsidRPr="006B2E8B" w14:paraId="6B6E909D"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1199F6CC" w14:textId="77777777" w:rsidR="00AA2CEF" w:rsidRPr="006B2E8B" w:rsidRDefault="00AA2CEF" w:rsidP="00AA2CEF">
            <w:pPr>
              <w:pStyle w:val="cTableText"/>
            </w:pPr>
            <w:r w:rsidRPr="006B2E8B">
              <w:t>30.</w:t>
            </w:r>
            <w:r w:rsidRPr="006B2E8B">
              <w:tab/>
              <w:t>RESERVED</w:t>
            </w:r>
          </w:p>
        </w:tc>
        <w:tc>
          <w:tcPr>
            <w:tcW w:w="5232" w:type="dxa"/>
            <w:gridSpan w:val="2"/>
            <w:tcBorders>
              <w:top w:val="single" w:sz="6" w:space="0" w:color="000000"/>
              <w:left w:val="nil"/>
              <w:bottom w:val="single" w:sz="6" w:space="0" w:color="000000"/>
              <w:right w:val="nil"/>
            </w:tcBorders>
          </w:tcPr>
          <w:p w14:paraId="5A9D9BCB" w14:textId="77777777" w:rsidR="00AA2CEF" w:rsidRPr="006B2E8B" w:rsidRDefault="00AA2CEF" w:rsidP="00AA2CEF">
            <w:pPr>
              <w:pStyle w:val="cTableText"/>
            </w:pPr>
            <w:r w:rsidRPr="006B2E8B">
              <w:t>Reserved for NUCC use.</w:t>
            </w:r>
          </w:p>
        </w:tc>
      </w:tr>
      <w:tr w:rsidR="00AA2CEF" w:rsidRPr="006B2E8B" w14:paraId="244397A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single" w:sz="6" w:space="0" w:color="000000"/>
              <w:right w:val="nil"/>
            </w:tcBorders>
          </w:tcPr>
          <w:p w14:paraId="0BAEB706" w14:textId="77777777" w:rsidR="00AA2CEF" w:rsidRPr="006B2E8B" w:rsidRDefault="00AA2CEF" w:rsidP="00AA2CEF">
            <w:pPr>
              <w:pStyle w:val="cTableText"/>
            </w:pPr>
            <w:r w:rsidRPr="006B2E8B">
              <w:t>31.</w:t>
            </w:r>
            <w:r w:rsidRPr="006B2E8B">
              <w:tab/>
              <w:t>SIGNATURE OF PHYSICIAN OR SUPPLIER INCLUDING DEGREES OR CREDENTIALS</w:t>
            </w:r>
          </w:p>
        </w:tc>
        <w:tc>
          <w:tcPr>
            <w:tcW w:w="5232" w:type="dxa"/>
            <w:gridSpan w:val="2"/>
            <w:tcBorders>
              <w:top w:val="single" w:sz="6" w:space="0" w:color="000000"/>
              <w:left w:val="nil"/>
              <w:bottom w:val="single" w:sz="6" w:space="0" w:color="000000"/>
              <w:right w:val="nil"/>
            </w:tcBorders>
          </w:tcPr>
          <w:p w14:paraId="48B00884" w14:textId="77777777" w:rsidR="00AA2CEF" w:rsidRPr="006B2E8B" w:rsidRDefault="00AA2CEF" w:rsidP="00AA2CEF">
            <w:pPr>
              <w:pStyle w:val="cTableText"/>
            </w:pPr>
            <w:r w:rsidRPr="006B2E8B">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AA2CEF" w:rsidRPr="006B2E8B" w14:paraId="479C7A1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501DCA7E" w14:textId="77777777" w:rsidR="00AA2CEF" w:rsidRPr="006B2E8B" w:rsidRDefault="00AA2CEF" w:rsidP="00AA2CEF">
            <w:pPr>
              <w:pStyle w:val="cTableText"/>
            </w:pPr>
            <w:r w:rsidRPr="006B2E8B">
              <w:t>32.</w:t>
            </w:r>
            <w:r w:rsidRPr="006B2E8B">
              <w:tab/>
              <w:t>SERVICE FACILITY LOCATION INFORMATION</w:t>
            </w:r>
          </w:p>
        </w:tc>
        <w:tc>
          <w:tcPr>
            <w:tcW w:w="5232" w:type="dxa"/>
            <w:gridSpan w:val="2"/>
            <w:tcBorders>
              <w:top w:val="single" w:sz="6" w:space="0" w:color="000000"/>
              <w:left w:val="nil"/>
              <w:bottom w:val="nil"/>
              <w:right w:val="nil"/>
            </w:tcBorders>
          </w:tcPr>
          <w:p w14:paraId="21EE2209" w14:textId="77777777" w:rsidR="00AA2CEF" w:rsidRPr="006B2E8B" w:rsidRDefault="00AA2CEF" w:rsidP="00AA2CEF">
            <w:pPr>
              <w:pStyle w:val="cTableText"/>
            </w:pPr>
            <w:r w:rsidRPr="006B2E8B">
              <w:t>If other than home or office, enter the name and street, city, state, and zip code of the facility where services were performed.</w:t>
            </w:r>
          </w:p>
        </w:tc>
      </w:tr>
      <w:tr w:rsidR="00AA2CEF" w:rsidRPr="006B2E8B" w14:paraId="62D649A4"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9041DB1" w14:textId="77777777" w:rsidR="00AA2CEF" w:rsidRPr="006B2E8B" w:rsidRDefault="00AA2CEF" w:rsidP="00AA2CEF">
            <w:pPr>
              <w:pStyle w:val="cTableText"/>
            </w:pPr>
            <w:r w:rsidRPr="006B2E8B">
              <w:t>a.</w:t>
            </w:r>
            <w:r w:rsidRPr="006B2E8B">
              <w:tab/>
              <w:t>(blank)</w:t>
            </w:r>
          </w:p>
        </w:tc>
        <w:tc>
          <w:tcPr>
            <w:tcW w:w="5232" w:type="dxa"/>
            <w:gridSpan w:val="2"/>
            <w:tcBorders>
              <w:top w:val="nil"/>
              <w:left w:val="nil"/>
              <w:bottom w:val="nil"/>
              <w:right w:val="nil"/>
            </w:tcBorders>
          </w:tcPr>
          <w:p w14:paraId="0DF3F3A2" w14:textId="77777777" w:rsidR="00AA2CEF" w:rsidRPr="006B2E8B" w:rsidRDefault="00AA2CEF" w:rsidP="00AA2CEF">
            <w:pPr>
              <w:pStyle w:val="cTableText"/>
            </w:pPr>
            <w:r w:rsidRPr="006B2E8B">
              <w:t>Not required.</w:t>
            </w:r>
          </w:p>
        </w:tc>
      </w:tr>
      <w:tr w:rsidR="00AA2CEF" w:rsidRPr="006B2E8B" w14:paraId="5DB8E8BF"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51D416D5" w14:textId="77777777" w:rsidR="00AA2CEF" w:rsidRPr="006B2E8B" w:rsidRDefault="00AA2CEF" w:rsidP="00AA2CEF">
            <w:pPr>
              <w:pStyle w:val="cTableText"/>
            </w:pPr>
            <w:r w:rsidRPr="006B2E8B">
              <w:t>b.</w:t>
            </w:r>
            <w:r w:rsidRPr="006B2E8B">
              <w:tab/>
              <w:t>(blank)</w:t>
            </w:r>
          </w:p>
        </w:tc>
        <w:tc>
          <w:tcPr>
            <w:tcW w:w="5232" w:type="dxa"/>
            <w:gridSpan w:val="2"/>
            <w:tcBorders>
              <w:top w:val="nil"/>
              <w:left w:val="nil"/>
              <w:bottom w:val="nil"/>
              <w:right w:val="nil"/>
            </w:tcBorders>
          </w:tcPr>
          <w:p w14:paraId="507CC5B1" w14:textId="77777777" w:rsidR="00AA2CEF" w:rsidRPr="006B2E8B" w:rsidRDefault="00AA2CEF" w:rsidP="00AA2CEF">
            <w:pPr>
              <w:pStyle w:val="cTableText"/>
            </w:pPr>
            <w:r w:rsidRPr="006B2E8B">
              <w:t>Not required.</w:t>
            </w:r>
          </w:p>
        </w:tc>
      </w:tr>
      <w:tr w:rsidR="00AA2CEF" w:rsidRPr="006B2E8B" w14:paraId="2676FA98"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single" w:sz="6" w:space="0" w:color="000000"/>
              <w:left w:val="nil"/>
              <w:bottom w:val="nil"/>
              <w:right w:val="nil"/>
            </w:tcBorders>
          </w:tcPr>
          <w:p w14:paraId="19C5D23D" w14:textId="77777777" w:rsidR="00AA2CEF" w:rsidRPr="006B2E8B" w:rsidRDefault="00AA2CEF" w:rsidP="00AA2CEF">
            <w:pPr>
              <w:pStyle w:val="cTableText"/>
            </w:pPr>
            <w:r w:rsidRPr="006B2E8B">
              <w:t>33.</w:t>
            </w:r>
            <w:r w:rsidRPr="006B2E8B">
              <w:tab/>
              <w:t>BILLING PROVIDER INFO &amp; PH #</w:t>
            </w:r>
          </w:p>
        </w:tc>
        <w:tc>
          <w:tcPr>
            <w:tcW w:w="5232" w:type="dxa"/>
            <w:gridSpan w:val="2"/>
            <w:tcBorders>
              <w:top w:val="single" w:sz="6" w:space="0" w:color="000000"/>
              <w:left w:val="nil"/>
              <w:bottom w:val="nil"/>
              <w:right w:val="nil"/>
            </w:tcBorders>
          </w:tcPr>
          <w:p w14:paraId="551F2262" w14:textId="77777777" w:rsidR="00AA2CEF" w:rsidRPr="006B2E8B" w:rsidRDefault="00AA2CEF" w:rsidP="00AA2CEF">
            <w:pPr>
              <w:pStyle w:val="cTableText"/>
            </w:pPr>
            <w:r w:rsidRPr="006B2E8B">
              <w:t xml:space="preserve">Billing provider’s name and complete address.  </w:t>
            </w:r>
            <w:proofErr w:type="gramStart"/>
            <w:r w:rsidRPr="006B2E8B">
              <w:t>Telephone</w:t>
            </w:r>
            <w:proofErr w:type="gramEnd"/>
            <w:r w:rsidRPr="006B2E8B">
              <w:t xml:space="preserve"> number is requested but not required.</w:t>
            </w:r>
          </w:p>
        </w:tc>
      </w:tr>
      <w:tr w:rsidR="00AA2CEF" w:rsidRPr="006B2E8B" w:rsidDel="00B77E35" w14:paraId="356FC377"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nil"/>
              <w:right w:val="nil"/>
            </w:tcBorders>
          </w:tcPr>
          <w:p w14:paraId="3D786FC3" w14:textId="77777777" w:rsidR="00AA2CEF" w:rsidRPr="006B2E8B" w:rsidDel="00B77E35" w:rsidRDefault="00AA2CEF" w:rsidP="00AA2CEF">
            <w:pPr>
              <w:pStyle w:val="cTableText"/>
            </w:pPr>
            <w:r w:rsidRPr="006B2E8B">
              <w:t>a.</w:t>
            </w:r>
            <w:r w:rsidRPr="006B2E8B">
              <w:tab/>
              <w:t>(blank)</w:t>
            </w:r>
          </w:p>
        </w:tc>
        <w:tc>
          <w:tcPr>
            <w:tcW w:w="5232" w:type="dxa"/>
            <w:gridSpan w:val="2"/>
            <w:tcBorders>
              <w:top w:val="nil"/>
              <w:left w:val="nil"/>
              <w:bottom w:val="nil"/>
              <w:right w:val="nil"/>
            </w:tcBorders>
          </w:tcPr>
          <w:p w14:paraId="50645DD0" w14:textId="77777777" w:rsidR="00AA2CEF" w:rsidRPr="006B2E8B" w:rsidRDefault="00AA2CEF" w:rsidP="00AA2CEF">
            <w:pPr>
              <w:pStyle w:val="cTableText"/>
              <w:rPr>
                <w:rFonts w:cs="Arial"/>
                <w:szCs w:val="21"/>
              </w:rPr>
            </w:pPr>
            <w:r w:rsidRPr="006B2E8B">
              <w:rPr>
                <w:rFonts w:cs="Arial"/>
                <w:szCs w:val="21"/>
              </w:rPr>
              <w:t>Enter NPI of the billing provider or</w:t>
            </w:r>
          </w:p>
        </w:tc>
      </w:tr>
      <w:tr w:rsidR="00AA2CEF" w:rsidRPr="006B2E8B" w14:paraId="4BFBFE02" w14:textId="77777777" w:rsidTr="008D1BB2">
        <w:tblPrEx>
          <w:tblBorders>
            <w:top w:val="single" w:sz="6" w:space="0" w:color="000000"/>
            <w:left w:val="none" w:sz="0" w:space="0" w:color="auto"/>
            <w:bottom w:val="single" w:sz="6" w:space="0" w:color="000000"/>
            <w:right w:val="none" w:sz="0" w:space="0" w:color="auto"/>
            <w:insideH w:val="single" w:sz="6" w:space="0" w:color="000000"/>
            <w:insideV w:val="none" w:sz="0" w:space="0" w:color="auto"/>
          </w:tblBorders>
          <w:tblCellMar>
            <w:left w:w="115" w:type="dxa"/>
            <w:right w:w="115" w:type="dxa"/>
          </w:tblCellMar>
        </w:tblPrEx>
        <w:trPr>
          <w:gridBefore w:val="1"/>
          <w:gridAfter w:val="2"/>
          <w:wBefore w:w="468" w:type="dxa"/>
          <w:wAfter w:w="45" w:type="dxa"/>
          <w:cantSplit/>
        </w:trPr>
        <w:tc>
          <w:tcPr>
            <w:tcW w:w="3622" w:type="dxa"/>
            <w:tcBorders>
              <w:top w:val="nil"/>
              <w:left w:val="nil"/>
              <w:bottom w:val="single" w:sz="4" w:space="0" w:color="auto"/>
              <w:right w:val="nil"/>
            </w:tcBorders>
          </w:tcPr>
          <w:p w14:paraId="1BAA69F9" w14:textId="77777777" w:rsidR="00AA2CEF" w:rsidRPr="006B2E8B" w:rsidRDefault="00AA2CEF" w:rsidP="00AA2CEF">
            <w:pPr>
              <w:pStyle w:val="cTableText"/>
            </w:pPr>
            <w:r w:rsidRPr="006B2E8B">
              <w:lastRenderedPageBreak/>
              <w:t>b.</w:t>
            </w:r>
            <w:r w:rsidRPr="006B2E8B">
              <w:tab/>
              <w:t>(blank)</w:t>
            </w:r>
          </w:p>
        </w:tc>
        <w:tc>
          <w:tcPr>
            <w:tcW w:w="5232" w:type="dxa"/>
            <w:gridSpan w:val="2"/>
            <w:tcBorders>
              <w:top w:val="nil"/>
              <w:left w:val="nil"/>
              <w:bottom w:val="single" w:sz="4" w:space="0" w:color="auto"/>
              <w:right w:val="nil"/>
            </w:tcBorders>
          </w:tcPr>
          <w:p w14:paraId="73B042B5" w14:textId="77777777" w:rsidR="00AA2CEF" w:rsidRPr="006B2E8B" w:rsidRDefault="00AA2CEF" w:rsidP="00AA2CEF">
            <w:pPr>
              <w:pStyle w:val="cTableText"/>
              <w:rPr>
                <w:rFonts w:cs="Arial"/>
                <w:szCs w:val="21"/>
              </w:rPr>
            </w:pPr>
            <w:r w:rsidRPr="006B2E8B">
              <w:rPr>
                <w:rFonts w:cs="Arial"/>
                <w:szCs w:val="21"/>
              </w:rPr>
              <w:t>Enter the 9-digit Arkansas Medicaid provider ID number of the billing provider.</w:t>
            </w:r>
          </w:p>
        </w:tc>
      </w:tr>
    </w:tbl>
    <w:p w14:paraId="1D4C6E11" w14:textId="77777777" w:rsidR="009D47DA" w:rsidRPr="006B2E8B" w:rsidRDefault="009D47DA" w:rsidP="008D2635">
      <w:pPr>
        <w:pStyle w:val="cTable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26F5E67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82745C4" w14:textId="77777777" w:rsidR="006D15F7" w:rsidRPr="006B2E8B" w:rsidRDefault="006D15F7">
            <w:pPr>
              <w:pStyle w:val="chead2"/>
            </w:pPr>
            <w:bookmarkStart w:id="232" w:name="_Toc40064455"/>
            <w:bookmarkStart w:id="233" w:name="_Toc202162697"/>
            <w:r w:rsidRPr="006B2E8B">
              <w:t>262.400</w:t>
            </w:r>
            <w:r w:rsidRPr="006B2E8B">
              <w:tab/>
              <w:t>Special Billing Procedures</w:t>
            </w:r>
            <w:bookmarkEnd w:id="232"/>
            <w:bookmarkEnd w:id="233"/>
          </w:p>
        </w:tc>
        <w:tc>
          <w:tcPr>
            <w:tcW w:w="1238" w:type="dxa"/>
            <w:tcBorders>
              <w:top w:val="single" w:sz="6" w:space="0" w:color="FFFFFF"/>
              <w:left w:val="single" w:sz="6" w:space="0" w:color="FFFFFF"/>
              <w:bottom w:val="single" w:sz="6" w:space="0" w:color="FFFFFF"/>
              <w:right w:val="single" w:sz="6" w:space="0" w:color="FFFFFF"/>
            </w:tcBorders>
          </w:tcPr>
          <w:p w14:paraId="35AC1D89" w14:textId="77777777" w:rsidR="006D15F7" w:rsidRPr="006B2E8B" w:rsidRDefault="006D15F7">
            <w:pPr>
              <w:pStyle w:val="cDate2"/>
            </w:pPr>
          </w:p>
        </w:tc>
      </w:tr>
      <w:tr w:rsidR="006D15F7" w:rsidRPr="006B2E8B" w14:paraId="3173757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2981B75" w14:textId="77777777" w:rsidR="006D15F7" w:rsidRPr="006B2E8B" w:rsidRDefault="006D15F7">
            <w:pPr>
              <w:pStyle w:val="chead2"/>
            </w:pPr>
            <w:bookmarkStart w:id="234" w:name="_Toc40064456"/>
            <w:bookmarkStart w:id="235" w:name="_Toc202162698"/>
            <w:r w:rsidRPr="006B2E8B">
              <w:t>262.410</w:t>
            </w:r>
            <w:r w:rsidRPr="006B2E8B">
              <w:tab/>
              <w:t>Ancillary Charges</w:t>
            </w:r>
            <w:bookmarkEnd w:id="234"/>
            <w:bookmarkEnd w:id="235"/>
          </w:p>
        </w:tc>
        <w:tc>
          <w:tcPr>
            <w:tcW w:w="1238" w:type="dxa"/>
            <w:tcBorders>
              <w:top w:val="single" w:sz="6" w:space="0" w:color="FFFFFF"/>
              <w:left w:val="single" w:sz="6" w:space="0" w:color="FFFFFF"/>
              <w:bottom w:val="single" w:sz="6" w:space="0" w:color="FFFFFF"/>
              <w:right w:val="single" w:sz="6" w:space="0" w:color="FFFFFF"/>
            </w:tcBorders>
          </w:tcPr>
          <w:p w14:paraId="60622D5F"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356F56C3" w14:textId="77777777" w:rsidR="006D15F7" w:rsidRPr="006B2E8B" w:rsidRDefault="006D15F7">
      <w:pPr>
        <w:pStyle w:val="ctext"/>
      </w:pPr>
      <w:r w:rsidRPr="006B2E8B">
        <w:t xml:space="preserve">Diagnostic laboratory, X-ray and machine test procedures are ancillary services.  FQHCs may include ancillary charges in their billings to the Arkansas Medicaid Program for services provided to eligible Medicaid </w:t>
      </w:r>
      <w:r w:rsidR="00B770EA" w:rsidRPr="006B2E8B">
        <w:t>beneficiaries</w:t>
      </w:r>
      <w:r w:rsidRPr="006B2E8B">
        <w:t>.  Medicaid denies the ancillary charges and captures them for tracking purposes only.  Bill for ancillary services at the provider's usual rate, not at the FQHC encounter rate.  Use CPT procedure codes unless instructed otherwise in this manual or in official Arkansas Medicaid correspondence.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1924696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B605793" w14:textId="77777777" w:rsidR="006D15F7" w:rsidRPr="006B2E8B" w:rsidRDefault="006D15F7">
            <w:pPr>
              <w:pStyle w:val="chead2"/>
            </w:pPr>
            <w:bookmarkStart w:id="236" w:name="_Toc40064457"/>
            <w:bookmarkStart w:id="237" w:name="_Toc202162699"/>
            <w:r w:rsidRPr="006B2E8B">
              <w:t>262.420</w:t>
            </w:r>
            <w:r w:rsidRPr="006B2E8B">
              <w:tab/>
              <w:t>Preventive Medicine</w:t>
            </w:r>
            <w:bookmarkEnd w:id="236"/>
            <w:bookmarkEnd w:id="237"/>
          </w:p>
        </w:tc>
        <w:tc>
          <w:tcPr>
            <w:tcW w:w="1238" w:type="dxa"/>
            <w:tcBorders>
              <w:top w:val="single" w:sz="6" w:space="0" w:color="FFFFFF"/>
              <w:left w:val="single" w:sz="6" w:space="0" w:color="FFFFFF"/>
              <w:bottom w:val="single" w:sz="6" w:space="0" w:color="FFFFFF"/>
              <w:right w:val="single" w:sz="6" w:space="0" w:color="FFFFFF"/>
            </w:tcBorders>
          </w:tcPr>
          <w:p w14:paraId="0A0C68FD"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r w:rsidR="006D15F7" w:rsidRPr="006B2E8B" w14:paraId="29CA797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4ED91A8" w14:textId="77777777" w:rsidR="006D15F7" w:rsidRPr="006B2E8B" w:rsidRDefault="006D15F7">
            <w:pPr>
              <w:pStyle w:val="chead2"/>
            </w:pPr>
            <w:bookmarkStart w:id="238" w:name="_Toc40064458"/>
            <w:bookmarkStart w:id="239" w:name="_Toc202162700"/>
            <w:r w:rsidRPr="006B2E8B">
              <w:t>262.421</w:t>
            </w:r>
            <w:r w:rsidRPr="006B2E8B">
              <w:tab/>
              <w:t>Child Health Services (EPSDT) Screens</w:t>
            </w:r>
            <w:bookmarkEnd w:id="238"/>
            <w:bookmarkEnd w:id="239"/>
          </w:p>
        </w:tc>
        <w:tc>
          <w:tcPr>
            <w:tcW w:w="1238" w:type="dxa"/>
            <w:tcBorders>
              <w:top w:val="single" w:sz="6" w:space="0" w:color="FFFFFF"/>
              <w:left w:val="single" w:sz="6" w:space="0" w:color="FFFFFF"/>
              <w:bottom w:val="single" w:sz="6" w:space="0" w:color="FFFFFF"/>
              <w:right w:val="single" w:sz="6" w:space="0" w:color="FFFFFF"/>
            </w:tcBorders>
          </w:tcPr>
          <w:p w14:paraId="48F994B3"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57A35772" w14:textId="77777777" w:rsidR="006D15F7" w:rsidRPr="006B2E8B" w:rsidRDefault="006D15F7">
      <w:pPr>
        <w:pStyle w:val="ctext"/>
      </w:pPr>
      <w:r w:rsidRPr="006B2E8B">
        <w:t>Bill Medicaid for Child Health Services (EPSDT) screens in accordance with the billing instructions in the Child Health Services (EPSDT)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0704856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05EA29B" w14:textId="77777777" w:rsidR="006D15F7" w:rsidRPr="006B2E8B" w:rsidRDefault="006D15F7">
            <w:pPr>
              <w:pStyle w:val="chead2"/>
            </w:pPr>
            <w:bookmarkStart w:id="240" w:name="_Toc40064459"/>
            <w:bookmarkStart w:id="241" w:name="_Toc202162701"/>
            <w:r w:rsidRPr="006B2E8B">
              <w:t>262.422</w:t>
            </w:r>
            <w:r w:rsidRPr="006B2E8B">
              <w:tab/>
              <w:t>ARKids First-B Preventive Health Screens</w:t>
            </w:r>
            <w:bookmarkEnd w:id="240"/>
            <w:bookmarkEnd w:id="241"/>
          </w:p>
        </w:tc>
        <w:tc>
          <w:tcPr>
            <w:tcW w:w="1238" w:type="dxa"/>
            <w:tcBorders>
              <w:top w:val="single" w:sz="6" w:space="0" w:color="FFFFFF"/>
              <w:left w:val="single" w:sz="6" w:space="0" w:color="FFFFFF"/>
              <w:bottom w:val="single" w:sz="6" w:space="0" w:color="FFFFFF"/>
              <w:right w:val="single" w:sz="6" w:space="0" w:color="FFFFFF"/>
            </w:tcBorders>
          </w:tcPr>
          <w:p w14:paraId="3990E741"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537D88C5" w14:textId="77777777" w:rsidR="006D15F7" w:rsidRPr="006B2E8B" w:rsidRDefault="006D15F7">
      <w:pPr>
        <w:pStyle w:val="ctext"/>
      </w:pPr>
      <w:r w:rsidRPr="006B2E8B">
        <w:t>Bill Medicaid for ARKids First-B preventive health screens in accordance with the billing instructions in the ARKids First-B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15F7" w:rsidRPr="006B2E8B" w14:paraId="16804AC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1F4BFB1" w14:textId="77777777" w:rsidR="006D15F7" w:rsidRPr="006B2E8B" w:rsidRDefault="006D15F7">
            <w:pPr>
              <w:pStyle w:val="chead2"/>
            </w:pPr>
            <w:bookmarkStart w:id="242" w:name="_Toc40064460"/>
            <w:bookmarkStart w:id="243" w:name="_Toc202162702"/>
            <w:r w:rsidRPr="006B2E8B">
              <w:t>262.423</w:t>
            </w:r>
            <w:r w:rsidRPr="006B2E8B">
              <w:tab/>
              <w:t>Vaccines for Children (VFC) Program</w:t>
            </w:r>
            <w:bookmarkEnd w:id="242"/>
            <w:bookmarkEnd w:id="243"/>
          </w:p>
        </w:tc>
        <w:tc>
          <w:tcPr>
            <w:tcW w:w="1238" w:type="dxa"/>
            <w:tcBorders>
              <w:top w:val="single" w:sz="6" w:space="0" w:color="FFFFFF"/>
              <w:left w:val="single" w:sz="6" w:space="0" w:color="FFFFFF"/>
              <w:bottom w:val="single" w:sz="6" w:space="0" w:color="FFFFFF"/>
              <w:right w:val="single" w:sz="6" w:space="0" w:color="FFFFFF"/>
            </w:tcBorders>
          </w:tcPr>
          <w:p w14:paraId="756A9FC5" w14:textId="77777777" w:rsidR="006D15F7" w:rsidRPr="006B2E8B" w:rsidRDefault="006D15F7">
            <w:pPr>
              <w:pStyle w:val="cDate2"/>
            </w:pPr>
            <w:smartTag w:uri="urn:schemas-microsoft-com:office:smarttags" w:element="date">
              <w:smartTagPr>
                <w:attr w:name="Year" w:val="2003"/>
                <w:attr w:name="Day" w:val="13"/>
                <w:attr w:name="Month" w:val="10"/>
              </w:smartTagPr>
              <w:r w:rsidRPr="006B2E8B">
                <w:t>10-13-03</w:t>
              </w:r>
            </w:smartTag>
          </w:p>
        </w:tc>
      </w:tr>
    </w:tbl>
    <w:p w14:paraId="52C21BE5" w14:textId="77777777" w:rsidR="006D15F7" w:rsidRPr="006B2E8B" w:rsidRDefault="006D15F7">
      <w:pPr>
        <w:pStyle w:val="ctext"/>
      </w:pPr>
      <w:r w:rsidRPr="006B2E8B">
        <w:t>Bill Medicaid for the administration of VFC Program immunizations in accordance with instructions in the Child Health Services (EPSDT) provider manual and the ARKids First-B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4456D" w:rsidRPr="006B2E8B" w14:paraId="490651F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BB50B56" w14:textId="77777777" w:rsidR="0044456D" w:rsidRPr="006B2E8B" w:rsidRDefault="0044456D" w:rsidP="0044456D">
            <w:pPr>
              <w:pStyle w:val="chead2"/>
            </w:pPr>
            <w:bookmarkStart w:id="244" w:name="_Toc40064461"/>
            <w:bookmarkStart w:id="245" w:name="_Toc202162703"/>
            <w:r w:rsidRPr="006B2E8B">
              <w:t>262.424</w:t>
            </w:r>
            <w:r w:rsidRPr="006B2E8B">
              <w:tab/>
              <w:t>Other Ambulatory Services</w:t>
            </w:r>
            <w:bookmarkEnd w:id="244"/>
            <w:bookmarkEnd w:id="245"/>
          </w:p>
        </w:tc>
        <w:tc>
          <w:tcPr>
            <w:tcW w:w="1238" w:type="dxa"/>
            <w:tcBorders>
              <w:top w:val="single" w:sz="6" w:space="0" w:color="FFFFFF"/>
              <w:left w:val="single" w:sz="6" w:space="0" w:color="FFFFFF"/>
              <w:bottom w:val="single" w:sz="6" w:space="0" w:color="FFFFFF"/>
              <w:right w:val="single" w:sz="6" w:space="0" w:color="FFFFFF"/>
            </w:tcBorders>
          </w:tcPr>
          <w:p w14:paraId="6B80D8B4" w14:textId="77777777" w:rsidR="0044456D" w:rsidRPr="006B2E8B" w:rsidRDefault="0044456D" w:rsidP="0044456D">
            <w:pPr>
              <w:pStyle w:val="cDate2"/>
            </w:pPr>
            <w:r w:rsidRPr="006B2E8B">
              <w:t>4-1-07</w:t>
            </w:r>
          </w:p>
        </w:tc>
      </w:tr>
    </w:tbl>
    <w:p w14:paraId="12839C8B" w14:textId="77777777" w:rsidR="0044456D" w:rsidRPr="006B2E8B" w:rsidRDefault="0044456D" w:rsidP="0044456D">
      <w:pPr>
        <w:pStyle w:val="ctext"/>
      </w:pPr>
      <w:r w:rsidRPr="006B2E8B">
        <w:t>FQHCs must bill for other ambulatory services (e.g., Dental, Visual Care, etc.) in accordance with the billing instructions of the program in which the other ambulatory services are covered and with the provider identification number for that program. Initial reimbursement for other ambulatory services is by fee schedule, at the lesser of the billed charge or the Medicaid maximum allowable fee.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11C60" w:rsidRPr="006B2E8B" w14:paraId="2B747E48" w14:textId="77777777" w:rsidTr="006B579B">
        <w:trPr>
          <w:cantSplit/>
        </w:trPr>
        <w:tc>
          <w:tcPr>
            <w:tcW w:w="8122" w:type="dxa"/>
            <w:tcBorders>
              <w:top w:val="single" w:sz="2" w:space="0" w:color="FFFFFF"/>
              <w:left w:val="single" w:sz="2" w:space="0" w:color="FFFFFF"/>
              <w:bottom w:val="single" w:sz="2" w:space="0" w:color="FFFFFF"/>
              <w:right w:val="single" w:sz="6" w:space="0" w:color="FFFFFF"/>
            </w:tcBorders>
          </w:tcPr>
          <w:p w14:paraId="5E19473A" w14:textId="77777777" w:rsidR="00A11C60" w:rsidRPr="006B2E8B" w:rsidRDefault="00A11C60" w:rsidP="00983289">
            <w:pPr>
              <w:pStyle w:val="chead2"/>
            </w:pPr>
            <w:bookmarkStart w:id="246" w:name="_Toc40064462"/>
            <w:bookmarkStart w:id="247" w:name="_Toc380651744"/>
            <w:bookmarkStart w:id="248" w:name="_Toc202162704"/>
            <w:r w:rsidRPr="006B2E8B">
              <w:t>262.430</w:t>
            </w:r>
            <w:r w:rsidRPr="006B2E8B">
              <w:tab/>
            </w:r>
            <w:bookmarkEnd w:id="246"/>
            <w:bookmarkEnd w:id="247"/>
            <w:r w:rsidR="00975A33" w:rsidRPr="006B2E8B">
              <w:t>Medication Assisted Treatment</w:t>
            </w:r>
            <w:bookmarkEnd w:id="248"/>
          </w:p>
        </w:tc>
        <w:tc>
          <w:tcPr>
            <w:tcW w:w="1238" w:type="dxa"/>
            <w:tcBorders>
              <w:top w:val="single" w:sz="2" w:space="0" w:color="FFFFFF"/>
              <w:left w:val="single" w:sz="6" w:space="0" w:color="FFFFFF"/>
              <w:bottom w:val="single" w:sz="2" w:space="0" w:color="FFFFFF"/>
              <w:right w:val="single" w:sz="2" w:space="0" w:color="FFFFFF"/>
            </w:tcBorders>
          </w:tcPr>
          <w:p w14:paraId="0ACE67E5" w14:textId="77777777" w:rsidR="00A11C60" w:rsidRPr="006B2E8B" w:rsidRDefault="00975A33" w:rsidP="00A11C60">
            <w:pPr>
              <w:pStyle w:val="cDate2"/>
            </w:pPr>
            <w:r w:rsidRPr="006B2E8B">
              <w:t>9-1-20</w:t>
            </w:r>
          </w:p>
        </w:tc>
      </w:tr>
    </w:tbl>
    <w:p w14:paraId="2F1D4B93" w14:textId="77777777" w:rsidR="005B1174" w:rsidRPr="006B2E8B" w:rsidRDefault="00975A33" w:rsidP="00975A33">
      <w:pPr>
        <w:pStyle w:val="ctext"/>
      </w:pPr>
      <w:r w:rsidRPr="006B2E8B">
        <w:t xml:space="preserve">When billing an encounter for (MAT) the actual rendering provider’s NPI must be entered on the claim.  If the billing provider’s number is used, the claim will </w:t>
      </w:r>
      <w:proofErr w:type="gramStart"/>
      <w:r w:rsidRPr="006B2E8B">
        <w:t>deny</w:t>
      </w:r>
      <w:proofErr w:type="gramEnd"/>
      <w:r w:rsidRPr="006B2E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11C60" w:rsidRPr="006B2E8B" w14:paraId="52B55342" w14:textId="77777777" w:rsidTr="00A11C60">
        <w:trPr>
          <w:cantSplit/>
        </w:trPr>
        <w:tc>
          <w:tcPr>
            <w:tcW w:w="8122" w:type="dxa"/>
            <w:tcBorders>
              <w:top w:val="single" w:sz="2" w:space="0" w:color="FFFFFF"/>
              <w:left w:val="single" w:sz="2" w:space="0" w:color="FFFFFF"/>
              <w:bottom w:val="single" w:sz="2" w:space="0" w:color="FFFFFF"/>
              <w:right w:val="single" w:sz="6" w:space="0" w:color="FFFFFF"/>
            </w:tcBorders>
          </w:tcPr>
          <w:p w14:paraId="11E921D1" w14:textId="77777777" w:rsidR="00A11C60" w:rsidRPr="006B2E8B" w:rsidRDefault="00A11C60" w:rsidP="006B579B">
            <w:pPr>
              <w:pStyle w:val="chead2"/>
            </w:pPr>
            <w:bookmarkStart w:id="249" w:name="_Toc40064463"/>
            <w:bookmarkStart w:id="250" w:name="_Toc380651745"/>
            <w:bookmarkStart w:id="251" w:name="_Toc202162705"/>
            <w:r w:rsidRPr="006B2E8B">
              <w:t>262.440</w:t>
            </w:r>
            <w:r w:rsidRPr="006B2E8B">
              <w:tab/>
              <w:t>Diagnosis Codes</w:t>
            </w:r>
            <w:bookmarkEnd w:id="249"/>
            <w:r w:rsidRPr="006B2E8B">
              <w:t xml:space="preserve"> not Covered for Beneficiaries under 21</w:t>
            </w:r>
            <w:bookmarkEnd w:id="250"/>
            <w:bookmarkEnd w:id="251"/>
          </w:p>
        </w:tc>
        <w:tc>
          <w:tcPr>
            <w:tcW w:w="1238" w:type="dxa"/>
            <w:tcBorders>
              <w:top w:val="single" w:sz="2" w:space="0" w:color="FFFFFF"/>
              <w:left w:val="single" w:sz="6" w:space="0" w:color="FFFFFF"/>
              <w:bottom w:val="single" w:sz="2" w:space="0" w:color="FFFFFF"/>
              <w:right w:val="single" w:sz="2" w:space="0" w:color="FFFFFF"/>
            </w:tcBorders>
          </w:tcPr>
          <w:p w14:paraId="37C3197B" w14:textId="77777777" w:rsidR="00A11C60" w:rsidRPr="006B2E8B" w:rsidRDefault="00A11C60" w:rsidP="006B579B">
            <w:pPr>
              <w:pStyle w:val="cDate2"/>
            </w:pPr>
            <w:r w:rsidRPr="006B2E8B">
              <w:t>10-1-15</w:t>
            </w:r>
          </w:p>
        </w:tc>
      </w:tr>
    </w:tbl>
    <w:p w14:paraId="1147E113" w14:textId="77777777" w:rsidR="00A11C60" w:rsidRPr="006B2E8B" w:rsidRDefault="00A11C60" w:rsidP="00A11C60">
      <w:pPr>
        <w:pStyle w:val="ctext"/>
      </w:pPr>
      <w:r w:rsidRPr="006B2E8B">
        <w:t xml:space="preserve">The following ICD diagnosis codes are non-payable for beneficiaries under the age of 21.  Refer to the Child Health Services (EPSDT) Provider Manual and the </w:t>
      </w:r>
      <w:proofErr w:type="spellStart"/>
      <w:r w:rsidRPr="006B2E8B">
        <w:t>ARKids</w:t>
      </w:r>
      <w:proofErr w:type="spellEnd"/>
      <w:r w:rsidRPr="006B2E8B">
        <w:t xml:space="preserve"> First-B Provider Manual for instructions regarding procedure and diagnosis coding on well childcare claims.</w:t>
      </w:r>
    </w:p>
    <w:p w14:paraId="0D923E11" w14:textId="77777777" w:rsidR="00A11C60" w:rsidRPr="006B2E8B" w:rsidRDefault="00A11C60" w:rsidP="00A11C60">
      <w:pPr>
        <w:pStyle w:val="ctablespace"/>
      </w:pPr>
    </w:p>
    <w:tbl>
      <w:tblPr>
        <w:tblW w:w="0" w:type="auto"/>
        <w:tblInd w:w="475"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112"/>
        <w:gridCol w:w="7787"/>
      </w:tblGrid>
      <w:tr w:rsidR="00A11C60" w:rsidRPr="006B2E8B" w14:paraId="784C23E0" w14:textId="77777777" w:rsidTr="005B1174">
        <w:trPr>
          <w:cantSplit/>
        </w:trPr>
        <w:tc>
          <w:tcPr>
            <w:tcW w:w="1112" w:type="dxa"/>
          </w:tcPr>
          <w:p w14:paraId="3E63D370" w14:textId="77777777" w:rsidR="00A11C60" w:rsidRPr="006B2E8B" w:rsidRDefault="00A11C60" w:rsidP="006B579B">
            <w:pPr>
              <w:pStyle w:val="cTableText"/>
            </w:pPr>
          </w:p>
        </w:tc>
        <w:tc>
          <w:tcPr>
            <w:tcW w:w="7787" w:type="dxa"/>
          </w:tcPr>
          <w:p w14:paraId="16B3518C" w14:textId="77777777" w:rsidR="00A11C60" w:rsidRPr="006B2E8B" w:rsidRDefault="00A11C60" w:rsidP="006B579B">
            <w:pPr>
              <w:pStyle w:val="cTableText"/>
            </w:pPr>
            <w:r w:rsidRPr="006B2E8B">
              <w:t>Routine general medical examination at a health care facility (</w:t>
            </w:r>
            <w:hyperlink r:id="rId50" w:history="1">
              <w:r w:rsidRPr="006B2E8B">
                <w:rPr>
                  <w:rStyle w:val="Hyperlink"/>
                </w:rPr>
                <w:t>View ICD codes.</w:t>
              </w:r>
            </w:hyperlink>
            <w:r w:rsidRPr="006B2E8B">
              <w:t>)</w:t>
            </w:r>
          </w:p>
        </w:tc>
      </w:tr>
      <w:tr w:rsidR="00A11C60" w:rsidRPr="006B2E8B" w14:paraId="2CE2AB66" w14:textId="77777777" w:rsidTr="005B1174">
        <w:trPr>
          <w:cantSplit/>
        </w:trPr>
        <w:tc>
          <w:tcPr>
            <w:tcW w:w="1112" w:type="dxa"/>
          </w:tcPr>
          <w:p w14:paraId="1C09352C" w14:textId="77777777" w:rsidR="00A11C60" w:rsidRPr="006B2E8B" w:rsidRDefault="00A11C60" w:rsidP="006B579B">
            <w:pPr>
              <w:pStyle w:val="cTableText"/>
            </w:pPr>
          </w:p>
        </w:tc>
        <w:tc>
          <w:tcPr>
            <w:tcW w:w="7787" w:type="dxa"/>
          </w:tcPr>
          <w:p w14:paraId="2849A8EF" w14:textId="77777777" w:rsidR="00A11C60" w:rsidRPr="006B2E8B" w:rsidRDefault="00A11C60" w:rsidP="006B579B">
            <w:pPr>
              <w:pStyle w:val="cTableText"/>
            </w:pPr>
            <w:r w:rsidRPr="006B2E8B">
              <w:t>Other medical examination for administrative purposes (</w:t>
            </w:r>
            <w:hyperlink r:id="rId51" w:history="1">
              <w:r w:rsidRPr="006B2E8B">
                <w:rPr>
                  <w:rStyle w:val="Hyperlink"/>
                </w:rPr>
                <w:t>View ICD codes.</w:t>
              </w:r>
            </w:hyperlink>
            <w:r w:rsidRPr="006B2E8B">
              <w:t>)</w:t>
            </w:r>
          </w:p>
        </w:tc>
      </w:tr>
      <w:tr w:rsidR="00A11C60" w:rsidRPr="006B2E8B" w14:paraId="4C632540" w14:textId="77777777" w:rsidTr="005B1174">
        <w:trPr>
          <w:cantSplit/>
        </w:trPr>
        <w:tc>
          <w:tcPr>
            <w:tcW w:w="1112" w:type="dxa"/>
          </w:tcPr>
          <w:p w14:paraId="0ED621FA" w14:textId="77777777" w:rsidR="00A11C60" w:rsidRPr="006B2E8B" w:rsidRDefault="00A11C60" w:rsidP="006B579B">
            <w:pPr>
              <w:pStyle w:val="cTableText"/>
            </w:pPr>
          </w:p>
        </w:tc>
        <w:tc>
          <w:tcPr>
            <w:tcW w:w="7787" w:type="dxa"/>
          </w:tcPr>
          <w:p w14:paraId="47E236F5" w14:textId="77777777" w:rsidR="00A11C60" w:rsidRPr="006B2E8B" w:rsidRDefault="00A11C60" w:rsidP="006B579B">
            <w:pPr>
              <w:pStyle w:val="cTableText"/>
            </w:pPr>
            <w:r w:rsidRPr="006B2E8B">
              <w:t>Health examination of defined subpopulations (</w:t>
            </w:r>
            <w:hyperlink r:id="rId52" w:history="1">
              <w:r w:rsidRPr="006B2E8B">
                <w:rPr>
                  <w:rStyle w:val="Hyperlink"/>
                </w:rPr>
                <w:t>View ICD codes.</w:t>
              </w:r>
            </w:hyperlink>
            <w:r w:rsidRPr="006B2E8B">
              <w:t>)</w:t>
            </w:r>
          </w:p>
        </w:tc>
      </w:tr>
      <w:tr w:rsidR="00A11C60" w:rsidRPr="006B2E8B" w14:paraId="6695CBDD" w14:textId="77777777" w:rsidTr="005B1174">
        <w:trPr>
          <w:cantSplit/>
        </w:trPr>
        <w:tc>
          <w:tcPr>
            <w:tcW w:w="1112" w:type="dxa"/>
          </w:tcPr>
          <w:p w14:paraId="1298F6B3" w14:textId="77777777" w:rsidR="00A11C60" w:rsidRPr="006B2E8B" w:rsidRDefault="00A11C60" w:rsidP="006B579B">
            <w:pPr>
              <w:pStyle w:val="cTableText"/>
            </w:pPr>
          </w:p>
        </w:tc>
        <w:tc>
          <w:tcPr>
            <w:tcW w:w="7787" w:type="dxa"/>
          </w:tcPr>
          <w:p w14:paraId="113CDA77" w14:textId="77777777" w:rsidR="00A11C60" w:rsidRPr="006B2E8B" w:rsidRDefault="00A11C60" w:rsidP="006B579B">
            <w:pPr>
              <w:pStyle w:val="cTableText"/>
            </w:pPr>
            <w:r w:rsidRPr="006B2E8B">
              <w:t>Examination for normal comparison or control in clinical research (</w:t>
            </w:r>
            <w:hyperlink r:id="rId53" w:history="1">
              <w:r w:rsidRPr="006B2E8B">
                <w:rPr>
                  <w:rStyle w:val="Hyperlink"/>
                </w:rPr>
                <w:t>View ICD codes.</w:t>
              </w:r>
            </w:hyperlink>
            <w:r w:rsidRPr="006B2E8B">
              <w:t>)</w:t>
            </w:r>
          </w:p>
        </w:tc>
      </w:tr>
      <w:tr w:rsidR="00A11C60" w:rsidRPr="006B2E8B" w14:paraId="236A0792" w14:textId="77777777" w:rsidTr="005B1174">
        <w:trPr>
          <w:cantSplit/>
        </w:trPr>
        <w:tc>
          <w:tcPr>
            <w:tcW w:w="1112" w:type="dxa"/>
          </w:tcPr>
          <w:p w14:paraId="1BBAC5D0" w14:textId="77777777" w:rsidR="00A11C60" w:rsidRPr="006B2E8B" w:rsidRDefault="00A11C60" w:rsidP="006B579B">
            <w:pPr>
              <w:pStyle w:val="cTableText"/>
            </w:pPr>
          </w:p>
        </w:tc>
        <w:tc>
          <w:tcPr>
            <w:tcW w:w="7787" w:type="dxa"/>
          </w:tcPr>
          <w:p w14:paraId="67437EF2" w14:textId="77777777" w:rsidR="00A11C60" w:rsidRPr="006B2E8B" w:rsidRDefault="00A11C60" w:rsidP="006B579B">
            <w:pPr>
              <w:pStyle w:val="cTableText"/>
            </w:pPr>
            <w:r w:rsidRPr="006B2E8B">
              <w:t>Unspecified general medical examination (</w:t>
            </w:r>
            <w:hyperlink r:id="rId54" w:history="1">
              <w:r w:rsidRPr="006B2E8B">
                <w:rPr>
                  <w:rStyle w:val="Hyperlink"/>
                </w:rPr>
                <w:t>View ICD codes.</w:t>
              </w:r>
            </w:hyperlink>
            <w:r w:rsidRPr="006B2E8B">
              <w:t>)</w:t>
            </w:r>
          </w:p>
        </w:tc>
      </w:tr>
      <w:tr w:rsidR="00A11C60" w:rsidRPr="006B2E8B" w14:paraId="2DBE374B" w14:textId="77777777" w:rsidTr="005B1174">
        <w:trPr>
          <w:cantSplit/>
        </w:trPr>
        <w:tc>
          <w:tcPr>
            <w:tcW w:w="1112" w:type="dxa"/>
          </w:tcPr>
          <w:p w14:paraId="35B136F8" w14:textId="77777777" w:rsidR="00A11C60" w:rsidRPr="006B2E8B" w:rsidRDefault="00A11C60" w:rsidP="006B579B">
            <w:pPr>
              <w:pStyle w:val="cTableText"/>
            </w:pPr>
          </w:p>
        </w:tc>
        <w:tc>
          <w:tcPr>
            <w:tcW w:w="7787" w:type="dxa"/>
          </w:tcPr>
          <w:p w14:paraId="6A969425" w14:textId="77777777" w:rsidR="00A11C60" w:rsidRPr="006B2E8B" w:rsidRDefault="00A11C60" w:rsidP="006B579B">
            <w:pPr>
              <w:pStyle w:val="cTableText"/>
            </w:pPr>
            <w:r w:rsidRPr="006B2E8B">
              <w:t>Other specified examination (</w:t>
            </w:r>
            <w:hyperlink r:id="rId55" w:history="1">
              <w:r w:rsidRPr="006B2E8B">
                <w:rPr>
                  <w:rStyle w:val="Hyperlink"/>
                </w:rPr>
                <w:t>View ICD codes.</w:t>
              </w:r>
            </w:hyperlink>
            <w:r w:rsidRPr="006B2E8B">
              <w:t>)</w:t>
            </w:r>
          </w:p>
        </w:tc>
      </w:tr>
    </w:tbl>
    <w:p w14:paraId="755C08A4" w14:textId="77777777" w:rsidR="005B1174" w:rsidRPr="006B2E8B" w:rsidRDefault="005B1174" w:rsidP="005B1174">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E786A" w:rsidRPr="006B2E8B" w14:paraId="5FAD4C7B" w14:textId="77777777" w:rsidTr="00E74E0E">
        <w:trPr>
          <w:cantSplit/>
        </w:trPr>
        <w:tc>
          <w:tcPr>
            <w:tcW w:w="8122" w:type="dxa"/>
            <w:tcBorders>
              <w:top w:val="single" w:sz="2" w:space="0" w:color="FFFFFF"/>
              <w:left w:val="single" w:sz="2" w:space="0" w:color="FFFFFF"/>
              <w:bottom w:val="single" w:sz="2" w:space="0" w:color="FFFFFF"/>
              <w:right w:val="single" w:sz="6" w:space="0" w:color="FFFFFF"/>
            </w:tcBorders>
          </w:tcPr>
          <w:p w14:paraId="66C477F5" w14:textId="77777777" w:rsidR="003E786A" w:rsidRPr="006B2E8B" w:rsidRDefault="003E786A" w:rsidP="003E786A">
            <w:pPr>
              <w:pStyle w:val="chead2"/>
            </w:pPr>
            <w:bookmarkStart w:id="252" w:name="_Toc202162706"/>
            <w:r w:rsidRPr="006B2E8B">
              <w:t>262.441</w:t>
            </w:r>
            <w:r w:rsidRPr="006B2E8B">
              <w:tab/>
              <w:t>National Drug Codes (NDCs)</w:t>
            </w:r>
            <w:bookmarkEnd w:id="252"/>
          </w:p>
        </w:tc>
        <w:tc>
          <w:tcPr>
            <w:tcW w:w="1238" w:type="dxa"/>
            <w:tcBorders>
              <w:top w:val="single" w:sz="2" w:space="0" w:color="FFFFFF"/>
              <w:left w:val="single" w:sz="6" w:space="0" w:color="FFFFFF"/>
              <w:bottom w:val="single" w:sz="2" w:space="0" w:color="FFFFFF"/>
              <w:right w:val="single" w:sz="2" w:space="0" w:color="FFFFFF"/>
            </w:tcBorders>
          </w:tcPr>
          <w:p w14:paraId="1A3ADFED" w14:textId="77777777" w:rsidR="003E786A" w:rsidRPr="006B2E8B" w:rsidRDefault="00FE0CE7" w:rsidP="003E786A">
            <w:pPr>
              <w:pStyle w:val="cDate2"/>
            </w:pPr>
            <w:r w:rsidRPr="006B2E8B">
              <w:t>1-1-23</w:t>
            </w:r>
          </w:p>
        </w:tc>
      </w:tr>
    </w:tbl>
    <w:p w14:paraId="165BEC2B" w14:textId="77777777" w:rsidR="00FE0CE7" w:rsidRPr="006B2E8B" w:rsidRDefault="00FE0CE7" w:rsidP="00FE0CE7">
      <w:pPr>
        <w:pStyle w:val="ctext"/>
      </w:pPr>
      <w:r w:rsidRPr="006B2E8B">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5F7FED29" w14:textId="77777777" w:rsidR="00FE0CE7" w:rsidRPr="006B2E8B" w:rsidRDefault="00FE0CE7" w:rsidP="00FE0CE7">
      <w:pPr>
        <w:pStyle w:val="ctext"/>
      </w:pPr>
      <w:r w:rsidRPr="006B2E8B">
        <w:t>The Federal Deficit Reduction Act of 2005 mandates that Arkansas Medicaid require the submission of National Drug Codes (NDCs) on claims submitted with Healthcare Common Procedure Coding System, Level II/Current Procedural Terminology, 4</w:t>
      </w:r>
      <w:r w:rsidRPr="006B2E8B">
        <w:rPr>
          <w:vertAlign w:val="superscript"/>
        </w:rPr>
        <w:t>th</w:t>
      </w:r>
      <w:r w:rsidRPr="006B2E8B">
        <w:t xml:space="preserve"> edition (HCPCS/CPT) codes for </w:t>
      </w:r>
      <w:r w:rsidRPr="006B2E8B">
        <w:rPr>
          <w:b/>
        </w:rPr>
        <w:t>drugs</w:t>
      </w:r>
      <w:r w:rsidRPr="006B2E8B">
        <w:t xml:space="preserve"> administered.  The purpose of this requirement is to assure that the State Medicaid Agencies obtain a rebate from those manufacturers who have signed a rebate agreement with the Centers for Medicare and Medicaid Services (CMS).</w:t>
      </w:r>
    </w:p>
    <w:p w14:paraId="49BA18EF" w14:textId="77777777" w:rsidR="00FE0CE7" w:rsidRPr="006B2E8B" w:rsidRDefault="00FE0CE7" w:rsidP="00FE0CE7">
      <w:pPr>
        <w:pStyle w:val="CLETTERED"/>
      </w:pPr>
      <w:r w:rsidRPr="006B2E8B">
        <w:t>A.</w:t>
      </w:r>
      <w:r w:rsidRPr="006B2E8B">
        <w:tab/>
        <w:t>Covered Labelers</w:t>
      </w:r>
    </w:p>
    <w:p w14:paraId="035B56E7" w14:textId="77777777" w:rsidR="00FE0CE7" w:rsidRPr="006B2E8B" w:rsidRDefault="00FE0CE7" w:rsidP="00FE0CE7">
      <w:pPr>
        <w:pStyle w:val="CLETTERED"/>
        <w:tabs>
          <w:tab w:val="left" w:pos="900"/>
        </w:tabs>
      </w:pPr>
      <w:r w:rsidRPr="006B2E8B">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56" w:history="1">
        <w:r w:rsidRPr="006B2E8B">
          <w:rPr>
            <w:rStyle w:val="Hyperlink"/>
          </w:rPr>
          <w:t>DHS contracted Pharmacy vendor</w:t>
        </w:r>
      </w:hyperlink>
      <w:r w:rsidRPr="006B2E8B">
        <w:t xml:space="preserve"> website.</w:t>
      </w:r>
    </w:p>
    <w:p w14:paraId="622199BB" w14:textId="77777777" w:rsidR="00FE0CE7" w:rsidRPr="006B2E8B" w:rsidRDefault="00FE0CE7" w:rsidP="00FE0CE7">
      <w:pPr>
        <w:pStyle w:val="CLETTERED"/>
        <w:tabs>
          <w:tab w:val="left" w:pos="900"/>
        </w:tabs>
      </w:pPr>
      <w:r w:rsidRPr="006B2E8B">
        <w:tab/>
        <w:t xml:space="preserve">A complete listing of </w:t>
      </w:r>
      <w:r w:rsidRPr="006B2E8B">
        <w:rPr>
          <w:b/>
        </w:rPr>
        <w:t>“Covered Labelers”</w:t>
      </w:r>
      <w:r w:rsidRPr="006B2E8B">
        <w:t xml:space="preserve"> is located on the website.  See Diagram 1 for an example of this screen.  The effective date is when a manufacturer entered into a rebate agreement with CMS.  The </w:t>
      </w:r>
      <w:r w:rsidRPr="006B2E8B">
        <w:rPr>
          <w:i/>
        </w:rPr>
        <w:t>Labeler termination date</w:t>
      </w:r>
      <w:r w:rsidRPr="006B2E8B">
        <w:t xml:space="preserve"> indicates that the manufacturer no longer participates in the federal rebate program and therefore </w:t>
      </w:r>
      <w:proofErr w:type="gramStart"/>
      <w:r w:rsidRPr="006B2E8B">
        <w:t>the products cannot be reimbursed by Arkansas Medicaid</w:t>
      </w:r>
      <w:proofErr w:type="gramEnd"/>
      <w:r w:rsidRPr="006B2E8B">
        <w:t xml:space="preserve"> on or after the </w:t>
      </w:r>
      <w:r w:rsidRPr="006B2E8B">
        <w:rPr>
          <w:i/>
        </w:rPr>
        <w:t>termination date</w:t>
      </w:r>
      <w:r w:rsidRPr="006B2E8B">
        <w:t>.</w:t>
      </w:r>
    </w:p>
    <w:p w14:paraId="3E139584" w14:textId="77777777" w:rsidR="00FE0CE7" w:rsidRPr="006B2E8B" w:rsidRDefault="00FE0CE7" w:rsidP="00FE0CE7">
      <w:pPr>
        <w:pStyle w:val="CLETTERED"/>
        <w:tabs>
          <w:tab w:val="left" w:pos="900"/>
        </w:tabs>
        <w:rPr>
          <w:i/>
        </w:rPr>
      </w:pPr>
      <w:r w:rsidRPr="006B2E8B">
        <w:tab/>
      </w:r>
      <w:r w:rsidRPr="006B2E8B">
        <w:rPr>
          <w:i/>
        </w:rPr>
        <w:t>Diagram 1</w:t>
      </w:r>
    </w:p>
    <w:p w14:paraId="105BC917" w14:textId="77777777" w:rsidR="00FE0CE7" w:rsidRPr="006B2E8B" w:rsidRDefault="00FE0CE7" w:rsidP="00FE0CE7">
      <w:pPr>
        <w:pStyle w:val="ctablespace"/>
      </w:pPr>
    </w:p>
    <w:p w14:paraId="2C3E2C8E" w14:textId="77777777" w:rsidR="00FE0CE7" w:rsidRPr="006B2E8B" w:rsidRDefault="00F02144" w:rsidP="00FE0CE7">
      <w:pPr>
        <w:pStyle w:val="ctext"/>
      </w:pPr>
      <w:r w:rsidRPr="006B2E8B">
        <w:rPr>
          <w:noProof/>
        </w:rPr>
        <w:lastRenderedPageBreak/>
        <w:fldChar w:fldCharType="begin"/>
      </w:r>
      <w:r w:rsidRPr="006B2E8B">
        <w:rPr>
          <w:noProof/>
        </w:rPr>
        <w:instrText xml:space="preserve"> INCLUDEPICTURE  "cid:image001.png@01D800BE.1F242B80" \* MERGEFORMATINET </w:instrText>
      </w:r>
      <w:r w:rsidRPr="006B2E8B">
        <w:rPr>
          <w:noProof/>
        </w:rPr>
        <w:fldChar w:fldCharType="separate"/>
      </w:r>
      <w:r w:rsidRPr="006B2E8B">
        <w:rPr>
          <w:noProof/>
        </w:rPr>
        <w:fldChar w:fldCharType="begin"/>
      </w:r>
      <w:r w:rsidRPr="006B2E8B">
        <w:rPr>
          <w:noProof/>
        </w:rPr>
        <w:instrText xml:space="preserve"> </w:instrText>
      </w:r>
      <w:r w:rsidRPr="006B2E8B">
        <w:rPr>
          <w:noProof/>
        </w:rPr>
        <w:instrText>INCLUDEPICTURE  "cid:image001.png@01D800BE.1F242B80" \* MERGEFORMATINET</w:instrText>
      </w:r>
      <w:r w:rsidRPr="006B2E8B">
        <w:rPr>
          <w:noProof/>
        </w:rPr>
        <w:instrText xml:space="preserve"> </w:instrText>
      </w:r>
      <w:r w:rsidRPr="006B2E8B">
        <w:rPr>
          <w:noProof/>
        </w:rPr>
        <w:fldChar w:fldCharType="separate"/>
      </w:r>
      <w:r w:rsidRPr="006B2E8B">
        <w:rPr>
          <w:noProof/>
        </w:rPr>
        <w:pict w14:anchorId="657B6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 style="width:435pt;height:198.75pt;visibility:visible">
            <v:imagedata r:id="rId57" r:href="rId58"/>
          </v:shape>
        </w:pict>
      </w:r>
      <w:r w:rsidRPr="006B2E8B">
        <w:rPr>
          <w:noProof/>
        </w:rPr>
        <w:fldChar w:fldCharType="end"/>
      </w:r>
      <w:r w:rsidRPr="006B2E8B">
        <w:rPr>
          <w:noProof/>
        </w:rPr>
        <w:fldChar w:fldCharType="end"/>
      </w:r>
    </w:p>
    <w:p w14:paraId="68401C13" w14:textId="77777777" w:rsidR="00FE0CE7" w:rsidRPr="006B2E8B" w:rsidRDefault="00FE0CE7" w:rsidP="00FE0CE7">
      <w:pPr>
        <w:pStyle w:val="ctablespace"/>
      </w:pPr>
    </w:p>
    <w:p w14:paraId="7E81F298" w14:textId="77777777" w:rsidR="00FE0CE7" w:rsidRPr="006B2E8B" w:rsidRDefault="00FE0CE7" w:rsidP="00FE0CE7">
      <w:pPr>
        <w:pStyle w:val="CLETTERED"/>
        <w:tabs>
          <w:tab w:val="left" w:pos="900"/>
        </w:tabs>
      </w:pPr>
      <w:r w:rsidRPr="006B2E8B">
        <w:tab/>
        <w:t xml:space="preserve">For a claim with drug HCPCS/CPT codes to be eligible for payment, the detail date of service must be prior to the </w:t>
      </w:r>
      <w:r w:rsidRPr="006B2E8B">
        <w:rPr>
          <w:i/>
        </w:rPr>
        <w:t>NDC termination date</w:t>
      </w:r>
      <w:r w:rsidRPr="006B2E8B">
        <w:t>.  The NDC termination date represents the shelf-life expiration date of the last batch produced, as supplied on the Centers for Medicare and Medicaid Services (CMS) quarterly update.  The date is supplied to CMS by the drug manufacturer/distributor.</w:t>
      </w:r>
    </w:p>
    <w:p w14:paraId="5A44AE6C" w14:textId="77777777" w:rsidR="00FE0CE7" w:rsidRPr="006B2E8B" w:rsidRDefault="00FE0CE7" w:rsidP="00FE0CE7">
      <w:pPr>
        <w:pStyle w:val="CLETTERED"/>
        <w:tabs>
          <w:tab w:val="left" w:pos="900"/>
        </w:tabs>
      </w:pPr>
      <w:r w:rsidRPr="006B2E8B">
        <w:tab/>
        <w:t xml:space="preserve">Arkansas Medicaid will deny claim details with drug HCPCS/CPT codes with a </w:t>
      </w:r>
      <w:proofErr w:type="gramStart"/>
      <w:r w:rsidRPr="006B2E8B">
        <w:t>detail</w:t>
      </w:r>
      <w:proofErr w:type="gramEnd"/>
      <w:r w:rsidRPr="006B2E8B">
        <w:t xml:space="preserve"> date of service equal to or greater than the NDC termination date.</w:t>
      </w:r>
    </w:p>
    <w:p w14:paraId="17E45328" w14:textId="77777777" w:rsidR="00FE0CE7" w:rsidRPr="006B2E8B" w:rsidRDefault="00FE0CE7" w:rsidP="00FE0CE7">
      <w:pPr>
        <w:pStyle w:val="CLETTERED"/>
        <w:tabs>
          <w:tab w:val="left" w:pos="900"/>
        </w:tabs>
      </w:pPr>
      <w:r w:rsidRPr="006B2E8B">
        <w:rPr>
          <w:lang w:val="en"/>
        </w:rPr>
        <w:tab/>
        <w:t>When completing a Medicaid claim for administering a drug, indicate the HIPAA standard 11-digit NDC with no dashes or spaces.  The 11-digit NDC is comprised of three (3) segments or codes</w:t>
      </w:r>
      <w:proofErr w:type="gramStart"/>
      <w:r w:rsidRPr="006B2E8B">
        <w:rPr>
          <w:lang w:val="en"/>
        </w:rPr>
        <w:t>:  a</w:t>
      </w:r>
      <w:proofErr w:type="gramEnd"/>
      <w:r w:rsidRPr="006B2E8B">
        <w:rPr>
          <w:lang w:val="en"/>
        </w:rPr>
        <w:t xml:space="preserve">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w:t>
      </w:r>
    </w:p>
    <w:p w14:paraId="2D56EAEB" w14:textId="77777777" w:rsidR="00FE0CE7" w:rsidRPr="006B2E8B" w:rsidRDefault="00FE0CE7" w:rsidP="00FE0CE7">
      <w:pPr>
        <w:pStyle w:val="CLETTERED"/>
        <w:tabs>
          <w:tab w:val="left" w:pos="900"/>
        </w:tabs>
        <w:rPr>
          <w:rFonts w:cs="Arial"/>
          <w:i/>
        </w:rPr>
      </w:pPr>
      <w:r w:rsidRPr="006B2E8B">
        <w:rPr>
          <w:rFonts w:cs="Arial"/>
          <w:i/>
        </w:rPr>
        <w:tab/>
        <w:t>Diagram 2</w:t>
      </w:r>
    </w:p>
    <w:p w14:paraId="7A7EF47C" w14:textId="77777777" w:rsidR="00FE0CE7" w:rsidRPr="006B2E8B" w:rsidRDefault="00FE0CE7" w:rsidP="00FE0CE7">
      <w:pPr>
        <w:pStyle w:val="ctablespace"/>
      </w:pPr>
    </w:p>
    <w:tbl>
      <w:tblPr>
        <w:tblW w:w="358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161"/>
        <w:gridCol w:w="1205"/>
        <w:gridCol w:w="1217"/>
      </w:tblGrid>
      <w:tr w:rsidR="00FE0CE7" w:rsidRPr="006B2E8B" w14:paraId="36F7AA5E" w14:textId="77777777" w:rsidTr="005A1B16">
        <w:trPr>
          <w:trHeight w:val="255"/>
          <w:jc w:val="center"/>
        </w:trPr>
        <w:tc>
          <w:tcPr>
            <w:tcW w:w="1161" w:type="dxa"/>
            <w:tcBorders>
              <w:top w:val="double" w:sz="6" w:space="0" w:color="auto"/>
              <w:left w:val="double" w:sz="6" w:space="0" w:color="auto"/>
              <w:bottom w:val="single" w:sz="4" w:space="0" w:color="auto"/>
              <w:right w:val="single" w:sz="4" w:space="0" w:color="auto"/>
            </w:tcBorders>
            <w:noWrap/>
            <w:vAlign w:val="bottom"/>
            <w:hideMark/>
          </w:tcPr>
          <w:p w14:paraId="7376454F" w14:textId="77777777" w:rsidR="00FE0CE7" w:rsidRPr="006B2E8B" w:rsidRDefault="00FE0CE7" w:rsidP="005A1B16">
            <w:pPr>
              <w:jc w:val="center"/>
              <w:rPr>
                <w:rFonts w:cs="Arial"/>
                <w:b/>
                <w:bCs/>
              </w:rPr>
            </w:pPr>
            <w:r w:rsidRPr="006B2E8B">
              <w:rPr>
                <w:rFonts w:cs="Arial"/>
                <w:b/>
                <w:bCs/>
              </w:rPr>
              <w:t>00123</w:t>
            </w:r>
          </w:p>
        </w:tc>
        <w:tc>
          <w:tcPr>
            <w:tcW w:w="1205" w:type="dxa"/>
            <w:tcBorders>
              <w:top w:val="double" w:sz="6" w:space="0" w:color="auto"/>
              <w:left w:val="single" w:sz="4" w:space="0" w:color="auto"/>
              <w:bottom w:val="single" w:sz="4" w:space="0" w:color="auto"/>
              <w:right w:val="single" w:sz="4" w:space="0" w:color="auto"/>
            </w:tcBorders>
            <w:noWrap/>
            <w:vAlign w:val="bottom"/>
            <w:hideMark/>
          </w:tcPr>
          <w:p w14:paraId="1B4DE91A" w14:textId="77777777" w:rsidR="00FE0CE7" w:rsidRPr="006B2E8B" w:rsidRDefault="00FE0CE7" w:rsidP="005A1B16">
            <w:pPr>
              <w:jc w:val="center"/>
              <w:rPr>
                <w:rFonts w:cs="Arial"/>
                <w:b/>
                <w:bCs/>
              </w:rPr>
            </w:pPr>
            <w:r w:rsidRPr="006B2E8B">
              <w:rPr>
                <w:rFonts w:cs="Arial"/>
                <w:b/>
                <w:bCs/>
              </w:rPr>
              <w:t>0456</w:t>
            </w:r>
          </w:p>
        </w:tc>
        <w:tc>
          <w:tcPr>
            <w:tcW w:w="1217" w:type="dxa"/>
            <w:tcBorders>
              <w:top w:val="double" w:sz="6" w:space="0" w:color="auto"/>
              <w:left w:val="single" w:sz="4" w:space="0" w:color="auto"/>
              <w:bottom w:val="single" w:sz="4" w:space="0" w:color="auto"/>
              <w:right w:val="double" w:sz="6" w:space="0" w:color="auto"/>
            </w:tcBorders>
            <w:noWrap/>
            <w:vAlign w:val="bottom"/>
            <w:hideMark/>
          </w:tcPr>
          <w:p w14:paraId="16F45899" w14:textId="77777777" w:rsidR="00FE0CE7" w:rsidRPr="006B2E8B" w:rsidRDefault="00FE0CE7" w:rsidP="005A1B16">
            <w:pPr>
              <w:jc w:val="center"/>
              <w:rPr>
                <w:rFonts w:cs="Arial"/>
                <w:b/>
                <w:bCs/>
              </w:rPr>
            </w:pPr>
            <w:r w:rsidRPr="006B2E8B">
              <w:rPr>
                <w:rFonts w:cs="Arial"/>
                <w:b/>
                <w:bCs/>
              </w:rPr>
              <w:t>78</w:t>
            </w:r>
          </w:p>
        </w:tc>
      </w:tr>
      <w:tr w:rsidR="00FE0CE7" w:rsidRPr="006B2E8B" w14:paraId="6E2065DF" w14:textId="77777777" w:rsidTr="005A1B16">
        <w:trPr>
          <w:trHeight w:val="480"/>
          <w:jc w:val="center"/>
        </w:trPr>
        <w:tc>
          <w:tcPr>
            <w:tcW w:w="1161" w:type="dxa"/>
            <w:tcBorders>
              <w:top w:val="single" w:sz="4" w:space="0" w:color="auto"/>
              <w:left w:val="double" w:sz="6" w:space="0" w:color="auto"/>
              <w:bottom w:val="double" w:sz="6" w:space="0" w:color="auto"/>
              <w:right w:val="single" w:sz="4" w:space="0" w:color="auto"/>
            </w:tcBorders>
            <w:vAlign w:val="bottom"/>
            <w:hideMark/>
          </w:tcPr>
          <w:p w14:paraId="564FA83F" w14:textId="77777777" w:rsidR="00FE0CE7" w:rsidRPr="006B2E8B" w:rsidRDefault="00FE0CE7" w:rsidP="005A1B16">
            <w:pPr>
              <w:jc w:val="center"/>
              <w:rPr>
                <w:rFonts w:cs="Arial"/>
                <w:b/>
                <w:bCs/>
              </w:rPr>
            </w:pPr>
            <w:r w:rsidRPr="006B2E8B">
              <w:rPr>
                <w:rFonts w:cs="Arial"/>
                <w:b/>
                <w:bCs/>
              </w:rPr>
              <w:t>LABELER CODE</w:t>
            </w:r>
          </w:p>
          <w:p w14:paraId="48F65965" w14:textId="77777777" w:rsidR="00FE0CE7" w:rsidRPr="006B2E8B" w:rsidRDefault="00FE0CE7" w:rsidP="005A1B16">
            <w:pPr>
              <w:jc w:val="center"/>
              <w:rPr>
                <w:rFonts w:cs="Arial"/>
                <w:b/>
                <w:bCs/>
              </w:rPr>
            </w:pPr>
            <w:r w:rsidRPr="006B2E8B">
              <w:rPr>
                <w:rFonts w:cs="Arial"/>
                <w:b/>
                <w:bCs/>
              </w:rPr>
              <w:t>(5 digits)</w:t>
            </w:r>
          </w:p>
        </w:tc>
        <w:tc>
          <w:tcPr>
            <w:tcW w:w="1205" w:type="dxa"/>
            <w:tcBorders>
              <w:top w:val="single" w:sz="4" w:space="0" w:color="auto"/>
              <w:left w:val="single" w:sz="4" w:space="0" w:color="auto"/>
              <w:bottom w:val="double" w:sz="6" w:space="0" w:color="auto"/>
              <w:right w:val="single" w:sz="4" w:space="0" w:color="auto"/>
            </w:tcBorders>
            <w:vAlign w:val="bottom"/>
            <w:hideMark/>
          </w:tcPr>
          <w:p w14:paraId="2DD04FBC" w14:textId="77777777" w:rsidR="00FE0CE7" w:rsidRPr="006B2E8B" w:rsidRDefault="00FE0CE7" w:rsidP="005A1B16">
            <w:pPr>
              <w:jc w:val="center"/>
              <w:rPr>
                <w:rFonts w:cs="Arial"/>
                <w:b/>
                <w:bCs/>
              </w:rPr>
            </w:pPr>
            <w:r w:rsidRPr="006B2E8B">
              <w:rPr>
                <w:rFonts w:cs="Arial"/>
                <w:b/>
                <w:bCs/>
              </w:rPr>
              <w:t>PRODUCT CODE</w:t>
            </w:r>
          </w:p>
          <w:p w14:paraId="2B8FA32F" w14:textId="77777777" w:rsidR="00FE0CE7" w:rsidRPr="006B2E8B" w:rsidRDefault="00FE0CE7" w:rsidP="005A1B16">
            <w:pPr>
              <w:jc w:val="center"/>
              <w:rPr>
                <w:rFonts w:cs="Arial"/>
                <w:b/>
                <w:bCs/>
              </w:rPr>
            </w:pPr>
            <w:r w:rsidRPr="006B2E8B">
              <w:rPr>
                <w:rFonts w:cs="Arial"/>
                <w:b/>
                <w:bCs/>
              </w:rPr>
              <w:t>(4 digits)</w:t>
            </w:r>
          </w:p>
        </w:tc>
        <w:tc>
          <w:tcPr>
            <w:tcW w:w="1217" w:type="dxa"/>
            <w:tcBorders>
              <w:top w:val="single" w:sz="4" w:space="0" w:color="auto"/>
              <w:left w:val="single" w:sz="4" w:space="0" w:color="auto"/>
              <w:bottom w:val="double" w:sz="6" w:space="0" w:color="auto"/>
              <w:right w:val="double" w:sz="6" w:space="0" w:color="auto"/>
            </w:tcBorders>
            <w:vAlign w:val="bottom"/>
            <w:hideMark/>
          </w:tcPr>
          <w:p w14:paraId="40740B48" w14:textId="77777777" w:rsidR="00FE0CE7" w:rsidRPr="006B2E8B" w:rsidRDefault="00FE0CE7" w:rsidP="005A1B16">
            <w:pPr>
              <w:jc w:val="center"/>
              <w:rPr>
                <w:rFonts w:cs="Arial"/>
                <w:b/>
                <w:bCs/>
              </w:rPr>
            </w:pPr>
            <w:r w:rsidRPr="006B2E8B">
              <w:rPr>
                <w:rFonts w:cs="Arial"/>
                <w:b/>
                <w:bCs/>
              </w:rPr>
              <w:t>PACKAGE CODE</w:t>
            </w:r>
          </w:p>
          <w:p w14:paraId="3EE18E64" w14:textId="77777777" w:rsidR="00FE0CE7" w:rsidRPr="006B2E8B" w:rsidRDefault="00FE0CE7" w:rsidP="005A1B16">
            <w:pPr>
              <w:jc w:val="center"/>
              <w:rPr>
                <w:rFonts w:cs="Arial"/>
                <w:b/>
                <w:bCs/>
              </w:rPr>
            </w:pPr>
            <w:r w:rsidRPr="006B2E8B">
              <w:rPr>
                <w:rFonts w:cs="Arial"/>
                <w:b/>
                <w:bCs/>
              </w:rPr>
              <w:t>(2 digits)</w:t>
            </w:r>
          </w:p>
        </w:tc>
      </w:tr>
    </w:tbl>
    <w:p w14:paraId="6BF10A27" w14:textId="77777777" w:rsidR="00FE0CE7" w:rsidRPr="006B2E8B" w:rsidRDefault="00FE0CE7" w:rsidP="00FE0CE7">
      <w:pPr>
        <w:pStyle w:val="ctablespace"/>
        <w:rPr>
          <w:lang w:val="en"/>
        </w:rPr>
      </w:pPr>
    </w:p>
    <w:p w14:paraId="191F7AF9" w14:textId="77777777" w:rsidR="00FE0CE7" w:rsidRPr="006B2E8B" w:rsidRDefault="00FE0CE7" w:rsidP="00FE0CE7">
      <w:pPr>
        <w:pStyle w:val="CLETTERED"/>
        <w:tabs>
          <w:tab w:val="left" w:pos="900"/>
        </w:tabs>
        <w:rPr>
          <w:lang w:val="en"/>
        </w:rPr>
      </w:pPr>
      <w:r w:rsidRPr="006B2E8B">
        <w:rPr>
          <w:lang w:val="en"/>
        </w:rPr>
        <w:tab/>
        <w:t>NDCs submitted in any configuration other than the 11-digit format will be rejected/denied.  NDCs billed to Medicaid for payment must use the 11-digit format without dashes or spaces between the numbers.</w:t>
      </w:r>
    </w:p>
    <w:p w14:paraId="67BD5F39" w14:textId="77777777" w:rsidR="00FE0CE7" w:rsidRPr="006B2E8B" w:rsidRDefault="00FE0CE7" w:rsidP="00FE0CE7">
      <w:pPr>
        <w:pStyle w:val="CLETTERED"/>
        <w:tabs>
          <w:tab w:val="left" w:pos="900"/>
        </w:tabs>
      </w:pPr>
      <w:r w:rsidRPr="006B2E8B">
        <w:tab/>
        <w:t>See Diagram 3 for sample NDCs as they might appear on drug packaging and the corresponding format which should be used for billing Arkansas Medicaid:</w:t>
      </w:r>
    </w:p>
    <w:p w14:paraId="66FAF375" w14:textId="77777777" w:rsidR="00FE0CE7" w:rsidRPr="006B2E8B" w:rsidRDefault="00FE0CE7" w:rsidP="00FE0CE7">
      <w:pPr>
        <w:pStyle w:val="CLETTERED"/>
        <w:tabs>
          <w:tab w:val="left" w:pos="900"/>
        </w:tabs>
        <w:rPr>
          <w:i/>
        </w:rPr>
      </w:pPr>
      <w:r w:rsidRPr="006B2E8B">
        <w:tab/>
      </w:r>
      <w:r w:rsidRPr="006B2E8B">
        <w:rPr>
          <w:i/>
        </w:rPr>
        <w:t>Diagram 3</w:t>
      </w:r>
    </w:p>
    <w:p w14:paraId="445AC2F8" w14:textId="77777777" w:rsidR="00FE0CE7" w:rsidRPr="006B2E8B" w:rsidRDefault="00FE0CE7" w:rsidP="00FE0CE7">
      <w:pPr>
        <w:pStyle w:val="ctablespace"/>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FE0CE7" w:rsidRPr="006B2E8B" w14:paraId="5A5AAFBD" w14:textId="77777777" w:rsidTr="005A1B16">
        <w:tc>
          <w:tcPr>
            <w:tcW w:w="3240" w:type="dxa"/>
            <w:tcBorders>
              <w:top w:val="double" w:sz="6" w:space="0" w:color="auto"/>
              <w:left w:val="double" w:sz="6" w:space="0" w:color="auto"/>
              <w:bottom w:val="single" w:sz="4" w:space="0" w:color="auto"/>
              <w:right w:val="single" w:sz="4" w:space="0" w:color="auto"/>
            </w:tcBorders>
            <w:hideMark/>
          </w:tcPr>
          <w:p w14:paraId="68F67A69" w14:textId="77777777" w:rsidR="00FE0CE7" w:rsidRPr="006B2E8B" w:rsidRDefault="00FE0CE7" w:rsidP="005A1B16">
            <w:pPr>
              <w:jc w:val="center"/>
              <w:rPr>
                <w:color w:val="000000"/>
                <w:lang w:val="fr-FR"/>
              </w:rPr>
            </w:pPr>
            <w:r w:rsidRPr="006B2E8B">
              <w:rPr>
                <w:rFonts w:cs="Arial"/>
                <w:b/>
                <w:bCs/>
                <w:lang w:val="fr-FR"/>
              </w:rPr>
              <w:t>10-digit FDA NDC on PACKAGE</w:t>
            </w:r>
          </w:p>
        </w:tc>
        <w:tc>
          <w:tcPr>
            <w:tcW w:w="3240" w:type="dxa"/>
            <w:tcBorders>
              <w:top w:val="double" w:sz="6" w:space="0" w:color="auto"/>
              <w:left w:val="single" w:sz="4" w:space="0" w:color="auto"/>
              <w:bottom w:val="single" w:sz="4" w:space="0" w:color="auto"/>
              <w:right w:val="double" w:sz="6" w:space="0" w:color="auto"/>
            </w:tcBorders>
            <w:hideMark/>
          </w:tcPr>
          <w:p w14:paraId="52C2F193" w14:textId="77777777" w:rsidR="00FE0CE7" w:rsidRPr="006B2E8B" w:rsidRDefault="00FE0CE7" w:rsidP="005A1B16">
            <w:pPr>
              <w:jc w:val="center"/>
              <w:rPr>
                <w:color w:val="000000"/>
                <w:lang w:val="en"/>
              </w:rPr>
            </w:pPr>
            <w:r w:rsidRPr="006B2E8B">
              <w:rPr>
                <w:rFonts w:cs="Arial"/>
                <w:b/>
                <w:bCs/>
                <w:lang w:val="en"/>
              </w:rPr>
              <w:t>Required 11-digit NDC</w:t>
            </w:r>
          </w:p>
          <w:p w14:paraId="1BBA6FAB" w14:textId="77777777" w:rsidR="00FE0CE7" w:rsidRPr="006B2E8B" w:rsidRDefault="00FE0CE7" w:rsidP="005A1B16">
            <w:pPr>
              <w:jc w:val="center"/>
              <w:rPr>
                <w:color w:val="000000"/>
                <w:lang w:val="en"/>
              </w:rPr>
            </w:pPr>
            <w:r w:rsidRPr="006B2E8B">
              <w:rPr>
                <w:rFonts w:cs="Arial"/>
                <w:b/>
                <w:bCs/>
                <w:lang w:val="en"/>
              </w:rPr>
              <w:t>(5-4-2) Billing Format</w:t>
            </w:r>
          </w:p>
        </w:tc>
      </w:tr>
      <w:tr w:rsidR="00FE0CE7" w:rsidRPr="006B2E8B" w14:paraId="7A933D53" w14:textId="77777777" w:rsidTr="005A1B16">
        <w:tc>
          <w:tcPr>
            <w:tcW w:w="3240" w:type="dxa"/>
            <w:tcBorders>
              <w:top w:val="single" w:sz="4" w:space="0" w:color="auto"/>
              <w:left w:val="double" w:sz="6" w:space="0" w:color="auto"/>
              <w:bottom w:val="single" w:sz="4" w:space="0" w:color="auto"/>
              <w:right w:val="single" w:sz="4" w:space="0" w:color="auto"/>
            </w:tcBorders>
            <w:hideMark/>
          </w:tcPr>
          <w:p w14:paraId="6414BD79" w14:textId="77777777" w:rsidR="00FE0CE7" w:rsidRPr="006B2E8B" w:rsidRDefault="00FE0CE7" w:rsidP="005A1B16">
            <w:pPr>
              <w:jc w:val="center"/>
              <w:rPr>
                <w:color w:val="000000"/>
                <w:lang w:val="en"/>
              </w:rPr>
            </w:pPr>
            <w:proofErr w:type="gramStart"/>
            <w:r w:rsidRPr="006B2E8B">
              <w:rPr>
                <w:rFonts w:cs="Arial"/>
                <w:lang w:val="en"/>
              </w:rPr>
              <w:t>12345  6789</w:t>
            </w:r>
            <w:proofErr w:type="gramEnd"/>
            <w:r w:rsidRPr="006B2E8B">
              <w:rPr>
                <w:rFonts w:cs="Arial"/>
                <w:lang w:val="en"/>
              </w:rPr>
              <w:t xml:space="preserve">  1</w:t>
            </w:r>
          </w:p>
        </w:tc>
        <w:tc>
          <w:tcPr>
            <w:tcW w:w="3240" w:type="dxa"/>
            <w:tcBorders>
              <w:top w:val="single" w:sz="4" w:space="0" w:color="auto"/>
              <w:left w:val="single" w:sz="4" w:space="0" w:color="auto"/>
              <w:bottom w:val="single" w:sz="4" w:space="0" w:color="auto"/>
              <w:right w:val="double" w:sz="6" w:space="0" w:color="auto"/>
            </w:tcBorders>
            <w:vAlign w:val="bottom"/>
            <w:hideMark/>
          </w:tcPr>
          <w:p w14:paraId="0AB5C6AB" w14:textId="77777777" w:rsidR="00FE0CE7" w:rsidRPr="006B2E8B" w:rsidRDefault="00FE0CE7" w:rsidP="005A1B16">
            <w:pPr>
              <w:jc w:val="center"/>
              <w:rPr>
                <w:color w:val="000000"/>
                <w:lang w:val="en"/>
              </w:rPr>
            </w:pPr>
            <w:r w:rsidRPr="006B2E8B">
              <w:rPr>
                <w:rFonts w:cs="Arial"/>
                <w:lang w:val="en"/>
              </w:rPr>
              <w:t>123456789</w:t>
            </w:r>
            <w:r w:rsidRPr="006B2E8B">
              <w:rPr>
                <w:rFonts w:cs="Arial"/>
                <w:b/>
                <w:bCs/>
                <w:color w:val="000000"/>
              </w:rPr>
              <w:t>0</w:t>
            </w:r>
            <w:r w:rsidRPr="006B2E8B">
              <w:rPr>
                <w:rFonts w:cs="Arial"/>
              </w:rPr>
              <w:t>1</w:t>
            </w:r>
          </w:p>
        </w:tc>
      </w:tr>
      <w:tr w:rsidR="00FE0CE7" w:rsidRPr="006B2E8B" w14:paraId="476D0FFA" w14:textId="77777777" w:rsidTr="005A1B16">
        <w:tc>
          <w:tcPr>
            <w:tcW w:w="3240" w:type="dxa"/>
            <w:tcBorders>
              <w:top w:val="single" w:sz="4" w:space="0" w:color="auto"/>
              <w:left w:val="double" w:sz="6" w:space="0" w:color="auto"/>
              <w:bottom w:val="single" w:sz="4" w:space="0" w:color="auto"/>
              <w:right w:val="single" w:sz="4" w:space="0" w:color="auto"/>
            </w:tcBorders>
            <w:hideMark/>
          </w:tcPr>
          <w:p w14:paraId="7DA4839F" w14:textId="77777777" w:rsidR="00FE0CE7" w:rsidRPr="006B2E8B" w:rsidRDefault="00FE0CE7" w:rsidP="005A1B16">
            <w:pPr>
              <w:jc w:val="center"/>
              <w:rPr>
                <w:color w:val="000000"/>
                <w:lang w:val="en"/>
              </w:rPr>
            </w:pPr>
            <w:r w:rsidRPr="006B2E8B">
              <w:rPr>
                <w:rFonts w:cs="Arial"/>
                <w:lang w:val="en"/>
              </w:rPr>
              <w:t>1111-2222-33</w:t>
            </w:r>
          </w:p>
        </w:tc>
        <w:tc>
          <w:tcPr>
            <w:tcW w:w="3240" w:type="dxa"/>
            <w:tcBorders>
              <w:top w:val="single" w:sz="4" w:space="0" w:color="auto"/>
              <w:left w:val="single" w:sz="4" w:space="0" w:color="auto"/>
              <w:bottom w:val="single" w:sz="4" w:space="0" w:color="auto"/>
              <w:right w:val="double" w:sz="6" w:space="0" w:color="auto"/>
            </w:tcBorders>
            <w:vAlign w:val="bottom"/>
            <w:hideMark/>
          </w:tcPr>
          <w:p w14:paraId="2B5A6F50" w14:textId="77777777" w:rsidR="00FE0CE7" w:rsidRPr="006B2E8B" w:rsidRDefault="00FE0CE7" w:rsidP="005A1B16">
            <w:pPr>
              <w:jc w:val="center"/>
              <w:rPr>
                <w:color w:val="000000"/>
                <w:lang w:val="en"/>
              </w:rPr>
            </w:pPr>
            <w:r w:rsidRPr="006B2E8B">
              <w:rPr>
                <w:rFonts w:cs="Arial"/>
                <w:b/>
                <w:bCs/>
                <w:color w:val="000000"/>
              </w:rPr>
              <w:t>0</w:t>
            </w:r>
            <w:r w:rsidRPr="006B2E8B">
              <w:rPr>
                <w:rFonts w:cs="Arial"/>
                <w:lang w:val="en"/>
              </w:rPr>
              <w:t>1111222233</w:t>
            </w:r>
          </w:p>
        </w:tc>
      </w:tr>
      <w:tr w:rsidR="00FE0CE7" w:rsidRPr="006B2E8B" w14:paraId="6C4C1EF4" w14:textId="77777777" w:rsidTr="005A1B16">
        <w:tc>
          <w:tcPr>
            <w:tcW w:w="3240" w:type="dxa"/>
            <w:tcBorders>
              <w:top w:val="single" w:sz="4" w:space="0" w:color="auto"/>
              <w:left w:val="double" w:sz="6" w:space="0" w:color="auto"/>
              <w:bottom w:val="double" w:sz="6" w:space="0" w:color="auto"/>
              <w:right w:val="single" w:sz="4" w:space="0" w:color="auto"/>
            </w:tcBorders>
            <w:hideMark/>
          </w:tcPr>
          <w:p w14:paraId="3E0AC156" w14:textId="77777777" w:rsidR="00FE0CE7" w:rsidRPr="006B2E8B" w:rsidRDefault="00FE0CE7" w:rsidP="005A1B16">
            <w:pPr>
              <w:jc w:val="center"/>
              <w:rPr>
                <w:color w:val="000000"/>
                <w:lang w:val="en"/>
              </w:rPr>
            </w:pPr>
            <w:r w:rsidRPr="006B2E8B">
              <w:rPr>
                <w:rFonts w:cs="Arial"/>
                <w:lang w:val="en"/>
              </w:rPr>
              <w:lastRenderedPageBreak/>
              <w:t>01111 456 71</w:t>
            </w:r>
          </w:p>
        </w:tc>
        <w:tc>
          <w:tcPr>
            <w:tcW w:w="3240" w:type="dxa"/>
            <w:tcBorders>
              <w:top w:val="single" w:sz="4" w:space="0" w:color="auto"/>
              <w:left w:val="single" w:sz="4" w:space="0" w:color="auto"/>
              <w:bottom w:val="double" w:sz="6" w:space="0" w:color="auto"/>
              <w:right w:val="double" w:sz="6" w:space="0" w:color="auto"/>
            </w:tcBorders>
            <w:vAlign w:val="bottom"/>
            <w:hideMark/>
          </w:tcPr>
          <w:p w14:paraId="3DA7E013" w14:textId="77777777" w:rsidR="00FE0CE7" w:rsidRPr="006B2E8B" w:rsidRDefault="00FE0CE7" w:rsidP="005A1B16">
            <w:pPr>
              <w:jc w:val="center"/>
              <w:rPr>
                <w:color w:val="000000"/>
                <w:lang w:val="en"/>
              </w:rPr>
            </w:pPr>
            <w:r w:rsidRPr="006B2E8B">
              <w:rPr>
                <w:rFonts w:cs="Arial"/>
                <w:lang w:val="en"/>
              </w:rPr>
              <w:t>01111</w:t>
            </w:r>
            <w:r w:rsidRPr="006B2E8B">
              <w:rPr>
                <w:rFonts w:cs="Arial"/>
                <w:b/>
                <w:bCs/>
                <w:color w:val="000000"/>
              </w:rPr>
              <w:t>0</w:t>
            </w:r>
            <w:r w:rsidRPr="006B2E8B">
              <w:rPr>
                <w:rFonts w:cs="Arial"/>
              </w:rPr>
              <w:t>45671</w:t>
            </w:r>
          </w:p>
        </w:tc>
      </w:tr>
    </w:tbl>
    <w:p w14:paraId="3F4C5F9E" w14:textId="77777777" w:rsidR="00FE0CE7" w:rsidRPr="006B2E8B" w:rsidRDefault="00FE0CE7" w:rsidP="00FE0CE7">
      <w:pPr>
        <w:pStyle w:val="ctablespace"/>
      </w:pPr>
    </w:p>
    <w:p w14:paraId="6FFCF64E" w14:textId="77777777" w:rsidR="00FE0CE7" w:rsidRPr="006B2E8B" w:rsidRDefault="00FE0CE7" w:rsidP="00FE0CE7">
      <w:pPr>
        <w:pStyle w:val="CLETTERED"/>
        <w:tabs>
          <w:tab w:val="left" w:pos="900"/>
        </w:tabs>
      </w:pPr>
      <w:r w:rsidRPr="006B2E8B">
        <w:t>B.</w:t>
      </w:r>
      <w:r w:rsidRPr="006B2E8B">
        <w:tab/>
        <w:t>Drug Procedure Code (HCPCS/CPT) to NDC Relationship and Billing Principles</w:t>
      </w:r>
    </w:p>
    <w:p w14:paraId="5681FA3B" w14:textId="77777777" w:rsidR="00FE0CE7" w:rsidRPr="006B2E8B" w:rsidRDefault="00FE0CE7" w:rsidP="00FE0CE7">
      <w:pPr>
        <w:pStyle w:val="CLETTERED"/>
        <w:tabs>
          <w:tab w:val="left" w:pos="900"/>
        </w:tabs>
      </w:pPr>
      <w:r w:rsidRPr="006B2E8B">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6B2E8B">
        <w:t>assure</w:t>
      </w:r>
      <w:proofErr w:type="gramEnd"/>
      <w:r w:rsidRPr="006B2E8B">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6B2E8B">
        <w:t>time period</w:t>
      </w:r>
      <w:proofErr w:type="gramEnd"/>
      <w:r w:rsidRPr="006B2E8B">
        <w:t xml:space="preserve"> to another.</w:t>
      </w:r>
    </w:p>
    <w:p w14:paraId="536998DA" w14:textId="77777777" w:rsidR="00FE0CE7" w:rsidRPr="006B2E8B" w:rsidRDefault="00FE0CE7" w:rsidP="00FE0CE7">
      <w:pPr>
        <w:pStyle w:val="CLETTERED"/>
        <w:tabs>
          <w:tab w:val="left" w:pos="900"/>
        </w:tabs>
      </w:pPr>
      <w:r w:rsidRPr="006B2E8B">
        <w:tab/>
        <w:t>Exception:  There is no requirement for an NDC when billing for vaccines, radiopharmaceuticals, and allergen immunotherapy.</w:t>
      </w:r>
    </w:p>
    <w:p w14:paraId="1519C0DC" w14:textId="77777777" w:rsidR="00FE0CE7" w:rsidRPr="006B2E8B" w:rsidRDefault="00FE0CE7" w:rsidP="00FE0CE7">
      <w:pPr>
        <w:pStyle w:val="ctext"/>
        <w:rPr>
          <w:b/>
        </w:rPr>
      </w:pPr>
      <w:r w:rsidRPr="006B2E8B">
        <w:rPr>
          <w:b/>
        </w:rPr>
        <w:t>I.  Claims Filing</w:t>
      </w:r>
    </w:p>
    <w:p w14:paraId="18086D59" w14:textId="77777777" w:rsidR="00FE0CE7" w:rsidRPr="006B2E8B" w:rsidRDefault="00FE0CE7" w:rsidP="00FE0CE7">
      <w:pPr>
        <w:pStyle w:val="ctext"/>
      </w:pPr>
      <w:r w:rsidRPr="006B2E8B">
        <w:t>The HCPCS/CPT codes billing units and the NDC quantity do not always have a one-to-one relationship.</w:t>
      </w:r>
    </w:p>
    <w:p w14:paraId="1657B65E" w14:textId="77777777" w:rsidR="00FE0CE7" w:rsidRPr="006B2E8B" w:rsidRDefault="00FE0CE7" w:rsidP="00FE0CE7">
      <w:pPr>
        <w:pStyle w:val="ctext"/>
      </w:pPr>
      <w:r w:rsidRPr="006B2E8B">
        <w:t>Example 1</w:t>
      </w:r>
      <w:proofErr w:type="gramStart"/>
      <w:r w:rsidRPr="006B2E8B">
        <w:t>:  The</w:t>
      </w:r>
      <w:proofErr w:type="gramEnd"/>
      <w:r w:rsidRPr="006B2E8B">
        <w:t xml:space="preserve"> HCPCS/CPT code may specify up to 75 mg of the drug whereas the NDC quantity is typically billed in units, </w:t>
      </w:r>
      <w:proofErr w:type="gramStart"/>
      <w:r w:rsidRPr="006B2E8B">
        <w:t>milliliters</w:t>
      </w:r>
      <w:proofErr w:type="gramEnd"/>
      <w:r w:rsidRPr="006B2E8B">
        <w:t xml:space="preserve"> or grams.  If the patient is </w:t>
      </w:r>
      <w:proofErr w:type="gramStart"/>
      <w:r w:rsidRPr="006B2E8B">
        <w:t>provided</w:t>
      </w:r>
      <w:proofErr w:type="gramEnd"/>
      <w:r w:rsidRPr="006B2E8B">
        <w:t xml:space="preserve"> 2 oral tablets, one at 25 mg and one at 50 mg, the HCPCS/CPT code unit would be 1 (1 total of 75 mg) in the example whereas the NDC quantity would be 1 each (1 unit of the 25 mg tablet and 1 unit of the 50 mg tablet).  See Diagram 4.</w:t>
      </w:r>
    </w:p>
    <w:p w14:paraId="3DFBEF1E" w14:textId="77777777" w:rsidR="00FE0CE7" w:rsidRPr="006B2E8B" w:rsidRDefault="00FE0CE7" w:rsidP="00FE0CE7">
      <w:pPr>
        <w:pStyle w:val="ctext"/>
        <w:rPr>
          <w:i/>
        </w:rPr>
      </w:pPr>
      <w:r w:rsidRPr="006B2E8B">
        <w:rPr>
          <w:i/>
        </w:rPr>
        <w:t>Diagram 4</w:t>
      </w:r>
    </w:p>
    <w:p w14:paraId="051129DE" w14:textId="77777777" w:rsidR="00FE0CE7" w:rsidRPr="006B2E8B" w:rsidRDefault="00FE0CE7" w:rsidP="00FE0CE7">
      <w:pPr>
        <w:pStyle w:val="ctablespace"/>
      </w:pPr>
    </w:p>
    <w:p w14:paraId="7E7FE690" w14:textId="77777777" w:rsidR="00FE0CE7" w:rsidRPr="006B2E8B" w:rsidRDefault="00F02144" w:rsidP="00FE0CE7">
      <w:pPr>
        <w:pStyle w:val="ctext"/>
        <w:rPr>
          <w:noProof/>
        </w:rPr>
      </w:pPr>
      <w:r w:rsidRPr="006B2E8B">
        <w:rPr>
          <w:noProof/>
        </w:rPr>
        <w:pict w14:anchorId="49F7180C">
          <v:shape id="Picture 5" o:spid="_x0000_i1026" type="#_x0000_t75" alt="Diagram 4 - 25mg and 50mg tablets = 75 mg dose = 1 unit of Drug" style="width:468pt;height:115.5pt;visibility:visible">
            <v:imagedata r:id="rId59" o:title="" croptop="17449f" cropbottom="34324f" cropleft="11305f" cropright="12104f"/>
          </v:shape>
        </w:pict>
      </w:r>
    </w:p>
    <w:p w14:paraId="0BBD1601" w14:textId="77777777" w:rsidR="00FE0CE7" w:rsidRPr="006B2E8B" w:rsidRDefault="00FE0CE7" w:rsidP="00FE0CE7">
      <w:pPr>
        <w:pStyle w:val="ctablespace"/>
      </w:pPr>
    </w:p>
    <w:p w14:paraId="7001E938" w14:textId="77777777" w:rsidR="00FE0CE7" w:rsidRPr="006B2E8B" w:rsidRDefault="00FE0CE7" w:rsidP="00FE0CE7">
      <w:pPr>
        <w:pStyle w:val="ctext"/>
      </w:pPr>
      <w:r w:rsidRPr="006B2E8B">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A (Electronic Claims Filing) and B (Paper Claims Filing) below.</w:t>
      </w:r>
    </w:p>
    <w:p w14:paraId="145D06C7" w14:textId="77777777" w:rsidR="00FE0CE7" w:rsidRPr="006B2E8B" w:rsidRDefault="00FE0CE7" w:rsidP="00FE0CE7">
      <w:pPr>
        <w:pStyle w:val="ctext"/>
        <w:rPr>
          <w:i/>
        </w:rPr>
      </w:pPr>
      <w:r w:rsidRPr="006B2E8B">
        <w:rPr>
          <w:i/>
        </w:rPr>
        <w:t>Diagram 5</w:t>
      </w:r>
    </w:p>
    <w:p w14:paraId="4FD9B677" w14:textId="77777777" w:rsidR="00FE0CE7" w:rsidRPr="006B2E8B" w:rsidRDefault="00FE0CE7" w:rsidP="00FE0CE7">
      <w:pPr>
        <w:pStyle w:val="ctablespace"/>
      </w:pPr>
    </w:p>
    <w:p w14:paraId="6E39D994" w14:textId="77777777" w:rsidR="00FE0CE7" w:rsidRPr="006B2E8B" w:rsidRDefault="00F02144" w:rsidP="00FE0CE7">
      <w:pPr>
        <w:pStyle w:val="ctext"/>
      </w:pPr>
      <w:r w:rsidRPr="006B2E8B">
        <w:rPr>
          <w:noProof/>
        </w:rPr>
        <w:lastRenderedPageBreak/>
        <w:pict w14:anchorId="27626B8A">
          <v:shape id="Picture 4" o:spid="_x0000_i1027" type="#_x0000_t75" alt="Diagram 5 - Documenting Waste" style="width:467.25pt;height:152.25pt;visibility:visible">
            <v:imagedata r:id="rId60" o:title="" croptop="17121f" cropbottom="29409f" cropleft="13701f" cropright="8110f"/>
          </v:shape>
        </w:pict>
      </w:r>
    </w:p>
    <w:p w14:paraId="3C5D079D" w14:textId="77777777" w:rsidR="00FE0CE7" w:rsidRPr="006B2E8B" w:rsidRDefault="00FE0CE7" w:rsidP="00FE0CE7">
      <w:pPr>
        <w:pStyle w:val="ctablespace"/>
        <w:rPr>
          <w:noProof/>
        </w:rPr>
      </w:pPr>
    </w:p>
    <w:p w14:paraId="57F9EDD2" w14:textId="77777777" w:rsidR="00FE0CE7" w:rsidRPr="006B2E8B" w:rsidRDefault="00FE0CE7" w:rsidP="00FE0CE7">
      <w:pPr>
        <w:pStyle w:val="CLETTERED"/>
        <w:tabs>
          <w:tab w:val="left" w:pos="900"/>
        </w:tabs>
      </w:pPr>
      <w:r w:rsidRPr="006B2E8B">
        <w:t>A.</w:t>
      </w:r>
      <w:r w:rsidRPr="006B2E8B">
        <w:tab/>
        <w:t>Electronic Claims Filing – 837P (Professional) and 837I (Outpatient)</w:t>
      </w:r>
    </w:p>
    <w:p w14:paraId="2A257EB0" w14:textId="77777777" w:rsidR="00FE0CE7" w:rsidRPr="006B2E8B" w:rsidRDefault="00FE0CE7" w:rsidP="00FE0CE7">
      <w:pPr>
        <w:pStyle w:val="cnumbered"/>
      </w:pPr>
      <w:r w:rsidRPr="006B2E8B">
        <w:t>Providers are instructed to bill as follows:</w:t>
      </w:r>
    </w:p>
    <w:p w14:paraId="7B79E0E7" w14:textId="77777777" w:rsidR="00FE0CE7" w:rsidRPr="006B2E8B" w:rsidRDefault="00FE0CE7" w:rsidP="00FE0CE7">
      <w:pPr>
        <w:pStyle w:val="cnumbered"/>
        <w:numPr>
          <w:ilvl w:val="0"/>
          <w:numId w:val="11"/>
        </w:numPr>
        <w:ind w:left="1260"/>
      </w:pPr>
      <w:r w:rsidRPr="006B2E8B">
        <w:t>1 NDC for a procedure – 1st/only detail shall be billed with no modifier</w:t>
      </w:r>
    </w:p>
    <w:p w14:paraId="0DB5FC40" w14:textId="77777777" w:rsidR="00FE0CE7" w:rsidRPr="006B2E8B" w:rsidRDefault="00FE0CE7" w:rsidP="00FE0CE7">
      <w:pPr>
        <w:pStyle w:val="cnumbered"/>
        <w:numPr>
          <w:ilvl w:val="0"/>
          <w:numId w:val="11"/>
        </w:numPr>
        <w:ind w:left="1260"/>
      </w:pPr>
      <w:r w:rsidRPr="006B2E8B">
        <w:t xml:space="preserve">2 NDCs for same procedure – 1st detail shall be billed with a </w:t>
      </w:r>
      <w:proofErr w:type="gramStart"/>
      <w:r w:rsidRPr="006B2E8B">
        <w:t>KP</w:t>
      </w:r>
      <w:proofErr w:type="gramEnd"/>
      <w:r w:rsidRPr="006B2E8B">
        <w:t xml:space="preserve"> and 2nd gets billed with a KQ modifier</w:t>
      </w:r>
    </w:p>
    <w:p w14:paraId="199AE052" w14:textId="77777777" w:rsidR="00FE0CE7" w:rsidRPr="006B2E8B" w:rsidRDefault="00FE0CE7" w:rsidP="00FE0CE7">
      <w:pPr>
        <w:pStyle w:val="cnumbered"/>
        <w:numPr>
          <w:ilvl w:val="0"/>
          <w:numId w:val="11"/>
        </w:numPr>
        <w:ind w:left="1260"/>
      </w:pPr>
      <w:r w:rsidRPr="006B2E8B">
        <w:t xml:space="preserve">3 NDCs for same procedure – 1st detail shall be billed with a </w:t>
      </w:r>
      <w:proofErr w:type="gramStart"/>
      <w:r w:rsidRPr="006B2E8B">
        <w:t>KP</w:t>
      </w:r>
      <w:proofErr w:type="gramEnd"/>
      <w:r w:rsidRPr="006B2E8B">
        <w:t xml:space="preserve"> and 2nd &amp; 3rd detail get billed with a KQ modifier</w:t>
      </w:r>
    </w:p>
    <w:p w14:paraId="659C5EB0" w14:textId="77777777" w:rsidR="00FE0CE7" w:rsidRPr="006B2E8B" w:rsidRDefault="00FE0CE7" w:rsidP="00FE0CE7">
      <w:pPr>
        <w:pStyle w:val="cnumbered"/>
        <w:numPr>
          <w:ilvl w:val="0"/>
          <w:numId w:val="11"/>
        </w:numPr>
        <w:ind w:left="1260"/>
      </w:pPr>
      <w:r w:rsidRPr="006B2E8B">
        <w:t>4 or more NDCs for same procedure – submit via paper claim</w:t>
      </w:r>
    </w:p>
    <w:p w14:paraId="3AE968EB" w14:textId="77777777" w:rsidR="00FE0CE7" w:rsidRPr="006B2E8B" w:rsidRDefault="00FE0CE7" w:rsidP="00FE0CE7">
      <w:pPr>
        <w:pStyle w:val="cnumbered"/>
        <w:numPr>
          <w:ilvl w:val="0"/>
          <w:numId w:val="11"/>
        </w:numPr>
        <w:ind w:left="1260"/>
      </w:pPr>
      <w:r w:rsidRPr="006B2E8B">
        <w:t xml:space="preserve">Wastage of each NDC shall be billed on a separate line with a JW modifier. </w:t>
      </w:r>
    </w:p>
    <w:p w14:paraId="276AD730" w14:textId="77777777" w:rsidR="00FE0CE7" w:rsidRPr="006B2E8B" w:rsidRDefault="00FE0CE7" w:rsidP="00FE0CE7">
      <w:pPr>
        <w:pStyle w:val="Note"/>
      </w:pPr>
      <w:r w:rsidRPr="006B2E8B">
        <w:t>NOTE:</w:t>
      </w:r>
      <w:r w:rsidRPr="006B2E8B">
        <w:tab/>
        <w:t>The NDCs listed above are not the same (unless with a JW modifier). Same NDCs shall be billed on a single line with appropriate units.</w:t>
      </w:r>
    </w:p>
    <w:p w14:paraId="48CE21C8" w14:textId="77777777" w:rsidR="00FE0CE7" w:rsidRPr="006B2E8B" w:rsidRDefault="00FE0CE7" w:rsidP="00FE0CE7">
      <w:pPr>
        <w:pStyle w:val="CLETTERED"/>
        <w:rPr>
          <w:b/>
          <w:bCs/>
        </w:rPr>
      </w:pPr>
      <w:r w:rsidRPr="006B2E8B">
        <w:rPr>
          <w:b/>
          <w:bCs/>
        </w:rPr>
        <w:t>NOTE: CMS definitions of modifiers:</w:t>
      </w:r>
    </w:p>
    <w:p w14:paraId="26F2CB3A" w14:textId="77777777" w:rsidR="00FE0CE7" w:rsidRPr="006B2E8B" w:rsidRDefault="00FE0CE7" w:rsidP="00FE0CE7">
      <w:pPr>
        <w:pStyle w:val="CLETTERED"/>
        <w:numPr>
          <w:ilvl w:val="0"/>
          <w:numId w:val="12"/>
        </w:numPr>
        <w:ind w:left="720"/>
      </w:pPr>
      <w:r w:rsidRPr="006B2E8B">
        <w:t>KP = First drug of a multiple drug unit dose formulation</w:t>
      </w:r>
    </w:p>
    <w:p w14:paraId="4B6B342E" w14:textId="77777777" w:rsidR="00FE0CE7" w:rsidRPr="006B2E8B" w:rsidRDefault="00FE0CE7" w:rsidP="00FE0CE7">
      <w:pPr>
        <w:pStyle w:val="CLETTERED"/>
        <w:numPr>
          <w:ilvl w:val="0"/>
          <w:numId w:val="12"/>
        </w:numPr>
        <w:ind w:left="720"/>
      </w:pPr>
      <w:r w:rsidRPr="006B2E8B">
        <w:t xml:space="preserve">KQ = Second or subsequent drug of a multiple drug unit dose formulation </w:t>
      </w:r>
    </w:p>
    <w:p w14:paraId="6ABDA6D2" w14:textId="77777777" w:rsidR="00FE0CE7" w:rsidRPr="006B2E8B" w:rsidRDefault="00FE0CE7" w:rsidP="00FE0CE7">
      <w:pPr>
        <w:pStyle w:val="CLETTERED"/>
        <w:numPr>
          <w:ilvl w:val="0"/>
          <w:numId w:val="12"/>
        </w:numPr>
        <w:ind w:left="720"/>
      </w:pPr>
      <w:r w:rsidRPr="006B2E8B">
        <w:t>JW = Drug wastage</w:t>
      </w:r>
    </w:p>
    <w:p w14:paraId="08B5A587" w14:textId="77777777" w:rsidR="00FE0CE7" w:rsidRPr="006B2E8B" w:rsidRDefault="00FE0CE7" w:rsidP="00FE0CE7">
      <w:pPr>
        <w:pStyle w:val="CLETTERED"/>
        <w:tabs>
          <w:tab w:val="left" w:pos="900"/>
        </w:tabs>
      </w:pPr>
      <w:r w:rsidRPr="006B2E8B">
        <w:t>B.</w:t>
      </w:r>
      <w:r w:rsidRPr="006B2E8B">
        <w:tab/>
        <w:t>Paper Claims Filing – CMS-1500</w:t>
      </w:r>
    </w:p>
    <w:p w14:paraId="3B9BDA59" w14:textId="77777777" w:rsidR="00FE0CE7" w:rsidRPr="006B2E8B" w:rsidRDefault="00FE0CE7" w:rsidP="00FE0CE7">
      <w:pPr>
        <w:pStyle w:val="cnumbered"/>
      </w:pPr>
      <w:r w:rsidRPr="006B2E8B">
        <w:t>Providers are instructed to bill as follows:</w:t>
      </w:r>
    </w:p>
    <w:p w14:paraId="65146BE9" w14:textId="77777777" w:rsidR="00FE0CE7" w:rsidRPr="006B2E8B" w:rsidRDefault="00FE0CE7" w:rsidP="00FE0CE7">
      <w:pPr>
        <w:pStyle w:val="cnumbered"/>
        <w:numPr>
          <w:ilvl w:val="0"/>
          <w:numId w:val="13"/>
        </w:numPr>
        <w:ind w:left="1260"/>
      </w:pPr>
      <w:r w:rsidRPr="006B2E8B">
        <w:t>1 NDC for a procedure – 1st/only detail shall be billed with no modifier</w:t>
      </w:r>
    </w:p>
    <w:p w14:paraId="5B7CB2D8" w14:textId="77777777" w:rsidR="00FE0CE7" w:rsidRPr="006B2E8B" w:rsidRDefault="00FE0CE7" w:rsidP="00FE0CE7">
      <w:pPr>
        <w:pStyle w:val="cnumbered"/>
        <w:numPr>
          <w:ilvl w:val="0"/>
          <w:numId w:val="13"/>
        </w:numPr>
        <w:ind w:left="1260"/>
      </w:pPr>
      <w:r w:rsidRPr="006B2E8B">
        <w:t xml:space="preserve">2 NDCs for same procedure – 1st detail shall be billed with a </w:t>
      </w:r>
      <w:proofErr w:type="gramStart"/>
      <w:r w:rsidRPr="006B2E8B">
        <w:t>KP</w:t>
      </w:r>
      <w:proofErr w:type="gramEnd"/>
      <w:r w:rsidRPr="006B2E8B">
        <w:t xml:space="preserve"> and 2nd gets billed with a KQ modifier</w:t>
      </w:r>
    </w:p>
    <w:p w14:paraId="59E5E335" w14:textId="77777777" w:rsidR="00FE0CE7" w:rsidRPr="006B2E8B" w:rsidRDefault="00FE0CE7" w:rsidP="00FE0CE7">
      <w:pPr>
        <w:pStyle w:val="cnumbered"/>
        <w:numPr>
          <w:ilvl w:val="0"/>
          <w:numId w:val="13"/>
        </w:numPr>
        <w:ind w:left="1260"/>
      </w:pPr>
      <w:r w:rsidRPr="006B2E8B">
        <w:t xml:space="preserve">3 NDCs for same procedure – 1st detail shall be billed with a </w:t>
      </w:r>
      <w:proofErr w:type="gramStart"/>
      <w:r w:rsidRPr="006B2E8B">
        <w:t>KP</w:t>
      </w:r>
      <w:proofErr w:type="gramEnd"/>
      <w:r w:rsidRPr="006B2E8B">
        <w:t xml:space="preserve"> and 2nd &amp; 3rd detail get billed with a KQ modifier</w:t>
      </w:r>
    </w:p>
    <w:p w14:paraId="634A40D1" w14:textId="77777777" w:rsidR="00FE0CE7" w:rsidRPr="006B2E8B" w:rsidRDefault="00FE0CE7" w:rsidP="00FE0CE7">
      <w:pPr>
        <w:pStyle w:val="cnumbered"/>
        <w:numPr>
          <w:ilvl w:val="0"/>
          <w:numId w:val="13"/>
        </w:numPr>
        <w:ind w:left="1260"/>
      </w:pPr>
      <w:r w:rsidRPr="006B2E8B">
        <w:t xml:space="preserve">4 or more NDCs for same procedure – 1st detail shall be billed with a </w:t>
      </w:r>
      <w:proofErr w:type="gramStart"/>
      <w:r w:rsidRPr="006B2E8B">
        <w:t>KP</w:t>
      </w:r>
      <w:proofErr w:type="gramEnd"/>
      <w:r w:rsidRPr="006B2E8B">
        <w:t xml:space="preserve"> and 2nd and subsequent details shall be billed with a KQ modifier</w:t>
      </w:r>
    </w:p>
    <w:p w14:paraId="32A58697" w14:textId="77777777" w:rsidR="00FE0CE7" w:rsidRPr="006B2E8B" w:rsidRDefault="00FE0CE7" w:rsidP="00FE0CE7">
      <w:pPr>
        <w:pStyle w:val="cnumbered"/>
        <w:numPr>
          <w:ilvl w:val="0"/>
          <w:numId w:val="13"/>
        </w:numPr>
        <w:ind w:left="1260"/>
      </w:pPr>
      <w:r w:rsidRPr="006B2E8B">
        <w:t>Wastage of each NDC shall be billed on a separate line with a JW modifier.</w:t>
      </w:r>
    </w:p>
    <w:p w14:paraId="13292194" w14:textId="77777777" w:rsidR="00FE0CE7" w:rsidRPr="006B2E8B" w:rsidRDefault="00FE0CE7" w:rsidP="00FE0CE7">
      <w:pPr>
        <w:pStyle w:val="CLETTERED"/>
        <w:rPr>
          <w:b/>
          <w:bCs/>
        </w:rPr>
      </w:pPr>
      <w:r w:rsidRPr="006B2E8B">
        <w:rPr>
          <w:b/>
          <w:bCs/>
        </w:rPr>
        <w:t>NOTE: CMS definitions of modifiers:</w:t>
      </w:r>
    </w:p>
    <w:p w14:paraId="2BF9F2A0" w14:textId="77777777" w:rsidR="00FE0CE7" w:rsidRPr="006B2E8B" w:rsidRDefault="00FE0CE7" w:rsidP="00FE0CE7">
      <w:pPr>
        <w:pStyle w:val="CLETTERED"/>
        <w:numPr>
          <w:ilvl w:val="0"/>
          <w:numId w:val="14"/>
        </w:numPr>
        <w:ind w:left="720"/>
      </w:pPr>
      <w:r w:rsidRPr="006B2E8B">
        <w:t>KP = First drug of a multiple drug unit dose formulation</w:t>
      </w:r>
    </w:p>
    <w:p w14:paraId="2EDD9F05" w14:textId="77777777" w:rsidR="00FE0CE7" w:rsidRPr="006B2E8B" w:rsidRDefault="00FE0CE7" w:rsidP="00FE0CE7">
      <w:pPr>
        <w:pStyle w:val="CLETTERED"/>
        <w:numPr>
          <w:ilvl w:val="0"/>
          <w:numId w:val="14"/>
        </w:numPr>
        <w:ind w:left="720"/>
      </w:pPr>
      <w:r w:rsidRPr="006B2E8B">
        <w:t xml:space="preserve">KQ = Second or subsequent drug of a multiple drug unit dose formulation </w:t>
      </w:r>
    </w:p>
    <w:p w14:paraId="072A53D1" w14:textId="77777777" w:rsidR="00FE0CE7" w:rsidRPr="006B2E8B" w:rsidRDefault="00FE0CE7" w:rsidP="00FE0CE7">
      <w:pPr>
        <w:pStyle w:val="CLETTERED"/>
        <w:numPr>
          <w:ilvl w:val="0"/>
          <w:numId w:val="14"/>
        </w:numPr>
        <w:ind w:left="720"/>
      </w:pPr>
      <w:r w:rsidRPr="006B2E8B">
        <w:lastRenderedPageBreak/>
        <w:t>JW = Drug wastage</w:t>
      </w:r>
    </w:p>
    <w:p w14:paraId="7DDE39F6" w14:textId="77777777" w:rsidR="00FE0CE7" w:rsidRPr="006B2E8B" w:rsidRDefault="00FE0CE7" w:rsidP="00FE0CE7">
      <w:pPr>
        <w:pStyle w:val="CLETTERED"/>
        <w:tabs>
          <w:tab w:val="left" w:pos="900"/>
        </w:tabs>
        <w:rPr>
          <w:i/>
        </w:rPr>
      </w:pPr>
      <w:r w:rsidRPr="006B2E8B">
        <w:rPr>
          <w:i/>
        </w:rPr>
        <w:t>Diagram 6</w:t>
      </w:r>
    </w:p>
    <w:p w14:paraId="516285AE" w14:textId="77777777" w:rsidR="00FE0CE7" w:rsidRPr="006B2E8B" w:rsidRDefault="00FE0CE7" w:rsidP="00FE0CE7">
      <w:pPr>
        <w:pStyle w:val="ctablespace"/>
      </w:pPr>
    </w:p>
    <w:p w14:paraId="4BAF5308" w14:textId="77777777" w:rsidR="00FE0CE7" w:rsidRPr="006B2E8B" w:rsidRDefault="00F02144" w:rsidP="00FE0CE7">
      <w:pPr>
        <w:pStyle w:val="ctext"/>
        <w:rPr>
          <w:noProof/>
        </w:rPr>
      </w:pPr>
      <w:r w:rsidRPr="006B2E8B">
        <w:rPr>
          <w:noProof/>
        </w:rPr>
        <w:pict w14:anchorId="05C4452F">
          <v:shape id="Picture 78" o:spid="_x0000_i1028" type="#_x0000_t75" alt="Diagram 6 - Paper Claim Billing Example for Same Drug, Multiple NDCs on Same Date of Service" style="width:430.5pt;height:135.75pt;visibility:visible">
            <v:imagedata r:id="rId61" o:title=""/>
          </v:shape>
        </w:pict>
      </w:r>
    </w:p>
    <w:p w14:paraId="2011262F" w14:textId="77777777" w:rsidR="00FE0CE7" w:rsidRPr="006B2E8B" w:rsidRDefault="00FE0CE7" w:rsidP="00FE0CE7">
      <w:pPr>
        <w:pStyle w:val="ctablespace"/>
        <w:rPr>
          <w:noProof/>
        </w:rPr>
      </w:pPr>
    </w:p>
    <w:p w14:paraId="4CF2AF77" w14:textId="77777777" w:rsidR="00FE0CE7" w:rsidRPr="006B2E8B" w:rsidRDefault="00FE0CE7" w:rsidP="00FE0CE7">
      <w:pPr>
        <w:pStyle w:val="ctext"/>
        <w:rPr>
          <w:b/>
        </w:rPr>
      </w:pPr>
      <w:r w:rsidRPr="006B2E8B">
        <w:rPr>
          <w:b/>
        </w:rPr>
        <w:t>II</w:t>
      </w:r>
      <w:proofErr w:type="gramStart"/>
      <w:r w:rsidRPr="006B2E8B">
        <w:rPr>
          <w:b/>
        </w:rPr>
        <w:t>.  Adjustments</w:t>
      </w:r>
      <w:proofErr w:type="gramEnd"/>
    </w:p>
    <w:p w14:paraId="154252A2" w14:textId="77777777" w:rsidR="00FE0CE7" w:rsidRPr="006B2E8B" w:rsidRDefault="00FE0CE7" w:rsidP="00FE0CE7">
      <w:pPr>
        <w:pStyle w:val="ctext"/>
      </w:pPr>
      <w:r w:rsidRPr="006B2E8B">
        <w:t xml:space="preserve">Paper adjustments for paid claims filed with NDC numbers will not be accepted.  Any original claim will have to be </w:t>
      </w:r>
      <w:proofErr w:type="gramStart"/>
      <w:r w:rsidRPr="006B2E8B">
        <w:t>voided</w:t>
      </w:r>
      <w:proofErr w:type="gramEnd"/>
      <w:r w:rsidRPr="006B2E8B">
        <w:t xml:space="preserve"> and a replacement claim will need to be filed.  Providers have the option of adjusting </w:t>
      </w:r>
      <w:proofErr w:type="gramStart"/>
      <w:r w:rsidRPr="006B2E8B">
        <w:t>a paper</w:t>
      </w:r>
      <w:proofErr w:type="gramEnd"/>
      <w:r w:rsidRPr="006B2E8B">
        <w:t xml:space="preserve"> or electronic </w:t>
      </w:r>
      <w:proofErr w:type="gramStart"/>
      <w:r w:rsidRPr="006B2E8B">
        <w:t>claim</w:t>
      </w:r>
      <w:proofErr w:type="gramEnd"/>
      <w:r w:rsidRPr="006B2E8B">
        <w:t xml:space="preserve"> electronically.</w:t>
      </w:r>
    </w:p>
    <w:p w14:paraId="2C68C1A2" w14:textId="77777777" w:rsidR="00FE0CE7" w:rsidRPr="006B2E8B" w:rsidRDefault="00FE0CE7" w:rsidP="00FE0CE7">
      <w:pPr>
        <w:pStyle w:val="ctext"/>
        <w:rPr>
          <w:b/>
          <w:bCs/>
        </w:rPr>
      </w:pPr>
      <w:r w:rsidRPr="006B2E8B">
        <w:rPr>
          <w:b/>
        </w:rPr>
        <w:t>III</w:t>
      </w:r>
      <w:proofErr w:type="gramStart"/>
      <w:r w:rsidRPr="006B2E8B">
        <w:rPr>
          <w:b/>
        </w:rPr>
        <w:t xml:space="preserve">.  </w:t>
      </w:r>
      <w:r w:rsidRPr="006B2E8B">
        <w:rPr>
          <w:b/>
          <w:bCs/>
        </w:rPr>
        <w:t>Record</w:t>
      </w:r>
      <w:proofErr w:type="gramEnd"/>
      <w:r w:rsidRPr="006B2E8B">
        <w:rPr>
          <w:b/>
          <w:bCs/>
        </w:rPr>
        <w:t xml:space="preserve"> Retention</w:t>
      </w:r>
    </w:p>
    <w:p w14:paraId="49D920D8" w14:textId="77777777" w:rsidR="00FE0CE7" w:rsidRPr="006B2E8B" w:rsidRDefault="00FE0CE7" w:rsidP="00FE0CE7">
      <w:pPr>
        <w:pStyle w:val="ctext"/>
      </w:pPr>
      <w:r w:rsidRPr="006B2E8B">
        <w:t xml:space="preserve">Each provider must retain all records for five (5) years from the date of service or until all audit questions, dispute or review issues, appeal hearings, </w:t>
      </w:r>
      <w:proofErr w:type="gramStart"/>
      <w:r w:rsidRPr="006B2E8B">
        <w:t>investigations</w:t>
      </w:r>
      <w:proofErr w:type="gramEnd"/>
      <w:r w:rsidRPr="006B2E8B">
        <w:t xml:space="preserve"> or administrative/judicial litigation to which the records may relate are concluded, whichever period is longer.</w:t>
      </w:r>
    </w:p>
    <w:p w14:paraId="29CDD2C4" w14:textId="77777777" w:rsidR="003E786A" w:rsidRPr="006B2E8B" w:rsidRDefault="00FE0CE7" w:rsidP="00FE0CE7">
      <w:pPr>
        <w:pStyle w:val="ctext"/>
      </w:pPr>
      <w:r w:rsidRPr="006B2E8B">
        <w:t xml:space="preserve">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w:t>
      </w:r>
      <w:proofErr w:type="gramStart"/>
      <w:r w:rsidRPr="006B2E8B">
        <w:t>strength</w:t>
      </w:r>
      <w:proofErr w:type="gramEnd"/>
      <w:r w:rsidRPr="006B2E8B">
        <w:t xml:space="preserve"> and amount) was administered and on what date, to the beneficiary in question.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F8B" w:rsidRPr="006B2E8B" w14:paraId="013DFE24" w14:textId="77777777" w:rsidTr="00832FBC">
        <w:trPr>
          <w:cantSplit/>
        </w:trPr>
        <w:tc>
          <w:tcPr>
            <w:tcW w:w="8122" w:type="dxa"/>
            <w:tcBorders>
              <w:top w:val="single" w:sz="2" w:space="0" w:color="FFFFFF"/>
              <w:left w:val="single" w:sz="2" w:space="0" w:color="FFFFFF"/>
              <w:bottom w:val="single" w:sz="2" w:space="0" w:color="FFFFFF"/>
              <w:right w:val="single" w:sz="6" w:space="0" w:color="FFFFFF"/>
            </w:tcBorders>
          </w:tcPr>
          <w:p w14:paraId="581B69F1" w14:textId="77777777" w:rsidR="00EB3F8B" w:rsidRPr="006B2E8B" w:rsidRDefault="00EB3F8B" w:rsidP="00832FBC">
            <w:pPr>
              <w:pStyle w:val="chead2"/>
            </w:pPr>
            <w:bookmarkStart w:id="253" w:name="_Toc202162707"/>
            <w:r w:rsidRPr="006B2E8B">
              <w:t>262.442</w:t>
            </w:r>
            <w:r w:rsidRPr="006B2E8B">
              <w:tab/>
              <w:t>Billing of Multi-Use and Single-Use Vials</w:t>
            </w:r>
            <w:bookmarkEnd w:id="253"/>
          </w:p>
        </w:tc>
        <w:tc>
          <w:tcPr>
            <w:tcW w:w="1238" w:type="dxa"/>
            <w:tcBorders>
              <w:top w:val="single" w:sz="2" w:space="0" w:color="FFFFFF"/>
              <w:left w:val="single" w:sz="6" w:space="0" w:color="FFFFFF"/>
              <w:bottom w:val="single" w:sz="2" w:space="0" w:color="FFFFFF"/>
              <w:right w:val="single" w:sz="2" w:space="0" w:color="FFFFFF"/>
            </w:tcBorders>
          </w:tcPr>
          <w:p w14:paraId="2EBC19FE" w14:textId="77777777" w:rsidR="00EB3F8B" w:rsidRPr="006B2E8B" w:rsidRDefault="00076AAB" w:rsidP="00832FBC">
            <w:pPr>
              <w:pStyle w:val="cDate2"/>
            </w:pPr>
            <w:r w:rsidRPr="006B2E8B">
              <w:t>1-1-23</w:t>
            </w:r>
          </w:p>
        </w:tc>
      </w:tr>
    </w:tbl>
    <w:p w14:paraId="424B6EE3" w14:textId="77777777" w:rsidR="00076AAB" w:rsidRPr="006B2E8B" w:rsidRDefault="00076AAB" w:rsidP="00076AAB">
      <w:pPr>
        <w:pStyle w:val="ctext"/>
      </w:pPr>
      <w:r w:rsidRPr="006B2E8B">
        <w:t>Arkansas Medicaid follows the billing protocol per the Federal Deficit Reduction Act of 2005 for drugs.</w:t>
      </w:r>
    </w:p>
    <w:p w14:paraId="62E9E310" w14:textId="77777777" w:rsidR="00076AAB" w:rsidRPr="006B2E8B" w:rsidRDefault="00076AAB" w:rsidP="00076AAB">
      <w:pPr>
        <w:pStyle w:val="CLETTERED"/>
      </w:pPr>
      <w:r w:rsidRPr="006B2E8B">
        <w:t>A.</w:t>
      </w:r>
      <w:r w:rsidRPr="006B2E8B">
        <w:tab/>
        <w:t>Multiple units may be billed when applicable.  Take-home drugs are not covered.  Drugs loaded into an infusion pump are not classified as “take-home drugs.”  Refer to payable CPT code ranges.</w:t>
      </w:r>
    </w:p>
    <w:p w14:paraId="41B8D7FF" w14:textId="77777777" w:rsidR="00076AAB" w:rsidRPr="006B2E8B" w:rsidRDefault="00076AAB" w:rsidP="00076AAB">
      <w:pPr>
        <w:pStyle w:val="CLETTERED"/>
      </w:pPr>
      <w:r w:rsidRPr="006B2E8B">
        <w:tab/>
      </w:r>
      <w:hyperlink r:id="rId62" w:history="1">
        <w:r w:rsidRPr="006B2E8B">
          <w:rPr>
            <w:rStyle w:val="Hyperlink"/>
          </w:rPr>
          <w:t>View or print the procedure codes for Federally Qualified Health Center (FQHC) services</w:t>
        </w:r>
      </w:hyperlink>
      <w:r w:rsidRPr="006B2E8B">
        <w:t>.</w:t>
      </w:r>
    </w:p>
    <w:p w14:paraId="6B431CCA" w14:textId="77777777" w:rsidR="00076AAB" w:rsidRPr="006B2E8B" w:rsidRDefault="00076AAB" w:rsidP="00076AAB">
      <w:pPr>
        <w:pStyle w:val="CLETTERED"/>
      </w:pPr>
      <w:r w:rsidRPr="006B2E8B">
        <w:t>B.</w:t>
      </w:r>
      <w:r w:rsidRPr="006B2E8B">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6B2E8B">
        <w:t>in order to</w:t>
      </w:r>
      <w:proofErr w:type="gramEnd"/>
      <w:r w:rsidRPr="006B2E8B">
        <w:t xml:space="preserve"> express the HCPCS description number as a multiple.</w:t>
      </w:r>
    </w:p>
    <w:p w14:paraId="08B45258" w14:textId="77777777" w:rsidR="00076AAB" w:rsidRPr="006B2E8B" w:rsidRDefault="00076AAB" w:rsidP="00076AAB">
      <w:pPr>
        <w:pStyle w:val="cnumbered"/>
      </w:pPr>
      <w:r w:rsidRPr="006B2E8B">
        <w:rPr>
          <w:bCs/>
        </w:rPr>
        <w:t>1.</w:t>
      </w:r>
      <w:r w:rsidRPr="006B2E8B">
        <w:rPr>
          <w:b/>
          <w:bCs/>
        </w:rPr>
        <w:tab/>
        <w:t>Single-Use Vials</w:t>
      </w:r>
      <w:proofErr w:type="gramStart"/>
      <w:r w:rsidRPr="006B2E8B">
        <w:rPr>
          <w:b/>
          <w:bCs/>
        </w:rPr>
        <w:t xml:space="preserve">:  </w:t>
      </w:r>
      <w:r w:rsidRPr="006B2E8B">
        <w:t>If</w:t>
      </w:r>
      <w:proofErr w:type="gramEnd"/>
      <w:r w:rsidRPr="006B2E8B">
        <w:t xml:space="preserve"> the provider must discard the remainder of a </w:t>
      </w:r>
      <w:r w:rsidRPr="006B2E8B">
        <w:rPr>
          <w:b/>
          <w:bCs/>
        </w:rPr>
        <w:t>single-use vial</w:t>
      </w:r>
      <w:r w:rsidRPr="006B2E8B">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08C7AF3F" w14:textId="77777777" w:rsidR="00076AAB" w:rsidRPr="006B2E8B" w:rsidRDefault="00076AAB" w:rsidP="00076AAB">
      <w:pPr>
        <w:pStyle w:val="cnumbered"/>
        <w:rPr>
          <w:b/>
        </w:rPr>
      </w:pPr>
      <w:r w:rsidRPr="006B2E8B">
        <w:rPr>
          <w:bCs/>
        </w:rPr>
        <w:lastRenderedPageBreak/>
        <w:t>2.</w:t>
      </w:r>
      <w:r w:rsidRPr="006B2E8B">
        <w:rPr>
          <w:b/>
          <w:bCs/>
        </w:rPr>
        <w:tab/>
        <w:t>Multi-Use Vials</w:t>
      </w:r>
      <w:proofErr w:type="gramStart"/>
      <w:r w:rsidRPr="006B2E8B">
        <w:t>:  Multi</w:t>
      </w:r>
      <w:proofErr w:type="gramEnd"/>
      <w:r w:rsidRPr="006B2E8B">
        <w:t>-use vials are not subject to payment for any discarded amounts of the drug.  The units billed must correspond with the units administered to the beneficiary.</w:t>
      </w:r>
    </w:p>
    <w:p w14:paraId="6F9ABCFB" w14:textId="77777777" w:rsidR="00076AAB" w:rsidRPr="006B2E8B" w:rsidRDefault="00076AAB" w:rsidP="00076AAB">
      <w:pPr>
        <w:pStyle w:val="cnumbered"/>
      </w:pPr>
      <w:r w:rsidRPr="006B2E8B">
        <w:rPr>
          <w:bCs/>
        </w:rPr>
        <w:t>3.</w:t>
      </w:r>
      <w:r w:rsidRPr="006B2E8B">
        <w:rPr>
          <w:b/>
          <w:bCs/>
        </w:rPr>
        <w:tab/>
        <w:t>Documentation</w:t>
      </w:r>
      <w:proofErr w:type="gramStart"/>
      <w:r w:rsidRPr="006B2E8B">
        <w:rPr>
          <w:b/>
          <w:bCs/>
        </w:rPr>
        <w:t xml:space="preserve">:  </w:t>
      </w:r>
      <w:r w:rsidRPr="006B2E8B">
        <w:t>The</w:t>
      </w:r>
      <w:proofErr w:type="gramEnd"/>
      <w:r w:rsidRPr="006B2E8B">
        <w:t xml:space="preserve"> provider must clearly document in the patient’s medical record the actual dose administered in addition to the exact amount wasted and the total amount the vial is labeled to contain.</w:t>
      </w:r>
    </w:p>
    <w:p w14:paraId="1E50D2C3" w14:textId="77777777" w:rsidR="00076AAB" w:rsidRPr="006B2E8B" w:rsidRDefault="00076AAB" w:rsidP="00076AAB">
      <w:pPr>
        <w:pStyle w:val="cnumbered"/>
        <w:ind w:firstLine="0"/>
      </w:pPr>
      <w:r w:rsidRPr="006B2E8B">
        <w:t xml:space="preserve">Remember to verify the milligrams given to the patient and then </w:t>
      </w:r>
      <w:proofErr w:type="gramStart"/>
      <w:r w:rsidRPr="006B2E8B">
        <w:t>convert</w:t>
      </w:r>
      <w:proofErr w:type="gramEnd"/>
      <w:r w:rsidRPr="006B2E8B">
        <w:t xml:space="preserve"> to the proper units for billing.</w:t>
      </w:r>
    </w:p>
    <w:p w14:paraId="1DB233C5" w14:textId="77777777" w:rsidR="00076AAB" w:rsidRPr="006B2E8B" w:rsidRDefault="00076AAB" w:rsidP="00076AAB">
      <w:pPr>
        <w:pStyle w:val="cnumbered"/>
        <w:ind w:firstLine="0"/>
      </w:pPr>
      <w:r w:rsidRPr="006B2E8B">
        <w:t>Follow the Centers for Disease Control (CDC) requirements for safe practices regarding expiration and sterility of multi-use vials.</w:t>
      </w:r>
    </w:p>
    <w:p w14:paraId="5878D77E" w14:textId="77777777" w:rsidR="006D15F7" w:rsidRDefault="00076AAB" w:rsidP="00076AAB">
      <w:pPr>
        <w:pStyle w:val="ctext"/>
      </w:pPr>
      <w:r w:rsidRPr="006B2E8B">
        <w:t xml:space="preserve">See Section 262.441 for additional information regarding </w:t>
      </w:r>
      <w:proofErr w:type="gramStart"/>
      <w:r w:rsidRPr="006B2E8B">
        <w:t>National</w:t>
      </w:r>
      <w:proofErr w:type="gramEnd"/>
      <w:r w:rsidRPr="006B2E8B">
        <w:t xml:space="preserve"> Drug Code (NDC) billing.</w:t>
      </w:r>
    </w:p>
    <w:sectPr w:rsidR="006D15F7">
      <w:headerReference w:type="default" r:id="rId63"/>
      <w:footerReference w:type="default" r:id="rId64"/>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CE38F" w14:textId="77777777" w:rsidR="0080275B" w:rsidRDefault="0080275B">
      <w:r>
        <w:separator/>
      </w:r>
    </w:p>
  </w:endnote>
  <w:endnote w:type="continuationSeparator" w:id="0">
    <w:p w14:paraId="6EB35603" w14:textId="77777777" w:rsidR="0080275B" w:rsidRDefault="0080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06AD" w14:textId="77777777" w:rsidR="00236141" w:rsidRDefault="00236141">
    <w:pPr>
      <w:pStyle w:val="Footer"/>
      <w:rPr>
        <w:rFonts w:cs="Arial"/>
      </w:rPr>
    </w:pPr>
    <w:r>
      <w:rPr>
        <w:rFonts w:cs="Arial"/>
      </w:rPr>
      <w:tab/>
      <w:t>Section II-</w:t>
    </w:r>
    <w:r>
      <w:rPr>
        <w:rFonts w:cs="Arial"/>
      </w:rPr>
      <w:fldChar w:fldCharType="begin"/>
    </w:r>
    <w:r>
      <w:rPr>
        <w:rFonts w:cs="Arial"/>
      </w:rPr>
      <w:instrText xml:space="preserve"> PAGE </w:instrText>
    </w:r>
    <w:r>
      <w:rPr>
        <w:rFonts w:cs="Arial"/>
      </w:rPr>
      <w:fldChar w:fldCharType="separate"/>
    </w:r>
    <w:r>
      <w:rPr>
        <w:rFonts w:cs="Arial"/>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CB12" w14:textId="77777777" w:rsidR="0080275B" w:rsidRDefault="0080275B">
      <w:r>
        <w:separator/>
      </w:r>
    </w:p>
  </w:footnote>
  <w:footnote w:type="continuationSeparator" w:id="0">
    <w:p w14:paraId="7F356B4B" w14:textId="77777777" w:rsidR="0080275B" w:rsidRDefault="0080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9D09" w14:textId="77777777" w:rsidR="00236141" w:rsidRDefault="00236141" w:rsidP="00A579E7">
    <w:pPr>
      <w:pStyle w:val="Header"/>
      <w:spacing w:after="120"/>
      <w:rPr>
        <w:rFonts w:cs="Arial"/>
      </w:rPr>
    </w:pPr>
    <w:r>
      <w:rPr>
        <w:rFonts w:cs="Arial"/>
      </w:rPr>
      <w:t xml:space="preserve">Federally Qualified </w:t>
    </w:r>
    <w:smartTag w:uri="urn:schemas-microsoft-com:office:smarttags" w:element="place">
      <w:smartTag w:uri="urn:schemas-microsoft-com:office:smarttags" w:element="PlaceName">
        <w:r>
          <w:rPr>
            <w:rFonts w:cs="Arial"/>
          </w:rPr>
          <w:t>Health</w:t>
        </w:r>
      </w:smartTag>
      <w:r>
        <w:rPr>
          <w:rFonts w:cs="Arial"/>
        </w:rPr>
        <w:t xml:space="preserve"> </w:t>
      </w:r>
      <w:smartTag w:uri="urn:schemas-microsoft-com:office:smarttags" w:element="PlaceType">
        <w:r>
          <w:rPr>
            <w:rFonts w:cs="Arial"/>
          </w:rPr>
          <w:t>Center</w:t>
        </w:r>
      </w:smartTag>
    </w:smartTag>
    <w:r>
      <w:rPr>
        <w:rFonts w:cs="Arial"/>
      </w:rP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9A7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A2B6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90EA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91C6C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867D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8A83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C4A2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E32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A2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FC8D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77C0C"/>
    <w:multiLevelType w:val="hybridMultilevel"/>
    <w:tmpl w:val="33722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D06745"/>
    <w:multiLevelType w:val="hybridMultilevel"/>
    <w:tmpl w:val="2A8CB50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 w15:restartNumberingAfterBreak="0">
    <w:nsid w:val="423B008D"/>
    <w:multiLevelType w:val="hybridMultilevel"/>
    <w:tmpl w:val="A3FC8C8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3" w15:restartNumberingAfterBreak="0">
    <w:nsid w:val="59D0449F"/>
    <w:multiLevelType w:val="hybridMultilevel"/>
    <w:tmpl w:val="84A8B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8770011">
    <w:abstractNumId w:val="9"/>
  </w:num>
  <w:num w:numId="2" w16cid:durableId="1559514425">
    <w:abstractNumId w:val="7"/>
  </w:num>
  <w:num w:numId="3" w16cid:durableId="925456066">
    <w:abstractNumId w:val="6"/>
  </w:num>
  <w:num w:numId="4" w16cid:durableId="263852044">
    <w:abstractNumId w:val="5"/>
  </w:num>
  <w:num w:numId="5" w16cid:durableId="1502551171">
    <w:abstractNumId w:val="4"/>
  </w:num>
  <w:num w:numId="6" w16cid:durableId="2092963632">
    <w:abstractNumId w:val="8"/>
  </w:num>
  <w:num w:numId="7" w16cid:durableId="924345324">
    <w:abstractNumId w:val="3"/>
  </w:num>
  <w:num w:numId="8" w16cid:durableId="770585731">
    <w:abstractNumId w:val="2"/>
  </w:num>
  <w:num w:numId="9" w16cid:durableId="1360736433">
    <w:abstractNumId w:val="1"/>
  </w:num>
  <w:num w:numId="10" w16cid:durableId="1025864647">
    <w:abstractNumId w:val="0"/>
  </w:num>
  <w:num w:numId="11" w16cid:durableId="2066636767">
    <w:abstractNumId w:val="12"/>
  </w:num>
  <w:num w:numId="12" w16cid:durableId="766314332">
    <w:abstractNumId w:val="10"/>
  </w:num>
  <w:num w:numId="13" w16cid:durableId="287973290">
    <w:abstractNumId w:val="11"/>
  </w:num>
  <w:num w:numId="14" w16cid:durableId="2018455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5F7"/>
    <w:rsid w:val="00002D01"/>
    <w:rsid w:val="00005004"/>
    <w:rsid w:val="00014A80"/>
    <w:rsid w:val="00026FC1"/>
    <w:rsid w:val="00030B82"/>
    <w:rsid w:val="0003228F"/>
    <w:rsid w:val="000374C8"/>
    <w:rsid w:val="000471FC"/>
    <w:rsid w:val="00057E98"/>
    <w:rsid w:val="000721A4"/>
    <w:rsid w:val="00074AA9"/>
    <w:rsid w:val="00076AAB"/>
    <w:rsid w:val="0009021F"/>
    <w:rsid w:val="000B33FB"/>
    <w:rsid w:val="000B76E7"/>
    <w:rsid w:val="000C200C"/>
    <w:rsid w:val="000C2B3C"/>
    <w:rsid w:val="000C47AA"/>
    <w:rsid w:val="000C562E"/>
    <w:rsid w:val="000D0023"/>
    <w:rsid w:val="000D2105"/>
    <w:rsid w:val="000E6DD5"/>
    <w:rsid w:val="00105773"/>
    <w:rsid w:val="00120BEC"/>
    <w:rsid w:val="00120EAA"/>
    <w:rsid w:val="0012195F"/>
    <w:rsid w:val="001310DE"/>
    <w:rsid w:val="001338D1"/>
    <w:rsid w:val="00144ACD"/>
    <w:rsid w:val="001541EA"/>
    <w:rsid w:val="00190B22"/>
    <w:rsid w:val="00191FAD"/>
    <w:rsid w:val="001C5D0C"/>
    <w:rsid w:val="001D3C00"/>
    <w:rsid w:val="001F4B4F"/>
    <w:rsid w:val="002204D0"/>
    <w:rsid w:val="00236141"/>
    <w:rsid w:val="0024122D"/>
    <w:rsid w:val="00244E84"/>
    <w:rsid w:val="002475B3"/>
    <w:rsid w:val="00255DCB"/>
    <w:rsid w:val="00263727"/>
    <w:rsid w:val="00266D2F"/>
    <w:rsid w:val="002B0220"/>
    <w:rsid w:val="002B6F2C"/>
    <w:rsid w:val="002C3B7E"/>
    <w:rsid w:val="002C53D7"/>
    <w:rsid w:val="002D50AB"/>
    <w:rsid w:val="002D7D99"/>
    <w:rsid w:val="002E23C9"/>
    <w:rsid w:val="00310A0B"/>
    <w:rsid w:val="003204A9"/>
    <w:rsid w:val="003305F9"/>
    <w:rsid w:val="00336F24"/>
    <w:rsid w:val="003455AB"/>
    <w:rsid w:val="00350453"/>
    <w:rsid w:val="00357D27"/>
    <w:rsid w:val="003605DB"/>
    <w:rsid w:val="003657A7"/>
    <w:rsid w:val="003838C8"/>
    <w:rsid w:val="00392CB1"/>
    <w:rsid w:val="003C0087"/>
    <w:rsid w:val="003E786A"/>
    <w:rsid w:val="003F4919"/>
    <w:rsid w:val="0040316B"/>
    <w:rsid w:val="00404627"/>
    <w:rsid w:val="004146E8"/>
    <w:rsid w:val="00442EE0"/>
    <w:rsid w:val="0044456D"/>
    <w:rsid w:val="00463888"/>
    <w:rsid w:val="00483844"/>
    <w:rsid w:val="00493D58"/>
    <w:rsid w:val="004B17C2"/>
    <w:rsid w:val="004C298F"/>
    <w:rsid w:val="004C4C8E"/>
    <w:rsid w:val="004C6281"/>
    <w:rsid w:val="004C7797"/>
    <w:rsid w:val="004D143E"/>
    <w:rsid w:val="004E0676"/>
    <w:rsid w:val="004E4DE2"/>
    <w:rsid w:val="004F5C96"/>
    <w:rsid w:val="00504F8F"/>
    <w:rsid w:val="00517D40"/>
    <w:rsid w:val="00527686"/>
    <w:rsid w:val="00532996"/>
    <w:rsid w:val="00535577"/>
    <w:rsid w:val="00537F96"/>
    <w:rsid w:val="005404D5"/>
    <w:rsid w:val="00586AE7"/>
    <w:rsid w:val="00595E54"/>
    <w:rsid w:val="005A1B16"/>
    <w:rsid w:val="005A5544"/>
    <w:rsid w:val="005B1174"/>
    <w:rsid w:val="005B2191"/>
    <w:rsid w:val="005B473F"/>
    <w:rsid w:val="005C029C"/>
    <w:rsid w:val="005C6CC3"/>
    <w:rsid w:val="00606804"/>
    <w:rsid w:val="006165F2"/>
    <w:rsid w:val="00620D33"/>
    <w:rsid w:val="00641270"/>
    <w:rsid w:val="00650FE1"/>
    <w:rsid w:val="006543A1"/>
    <w:rsid w:val="00656061"/>
    <w:rsid w:val="0066229B"/>
    <w:rsid w:val="00663534"/>
    <w:rsid w:val="0069591B"/>
    <w:rsid w:val="006A1F31"/>
    <w:rsid w:val="006A2E43"/>
    <w:rsid w:val="006B208B"/>
    <w:rsid w:val="006B2E8B"/>
    <w:rsid w:val="006B4565"/>
    <w:rsid w:val="006B579B"/>
    <w:rsid w:val="006C7B68"/>
    <w:rsid w:val="006D15F7"/>
    <w:rsid w:val="00713426"/>
    <w:rsid w:val="0072004A"/>
    <w:rsid w:val="007334D8"/>
    <w:rsid w:val="00755961"/>
    <w:rsid w:val="00757DE5"/>
    <w:rsid w:val="007652DB"/>
    <w:rsid w:val="007756D0"/>
    <w:rsid w:val="00781AF0"/>
    <w:rsid w:val="00782EC3"/>
    <w:rsid w:val="00783FB6"/>
    <w:rsid w:val="007914C8"/>
    <w:rsid w:val="007A0456"/>
    <w:rsid w:val="007A311A"/>
    <w:rsid w:val="007A429E"/>
    <w:rsid w:val="007B433B"/>
    <w:rsid w:val="007C7571"/>
    <w:rsid w:val="007D0040"/>
    <w:rsid w:val="007F1346"/>
    <w:rsid w:val="007F56AE"/>
    <w:rsid w:val="007F7AA7"/>
    <w:rsid w:val="0080275B"/>
    <w:rsid w:val="008068D4"/>
    <w:rsid w:val="008135D6"/>
    <w:rsid w:val="008173D5"/>
    <w:rsid w:val="0082412B"/>
    <w:rsid w:val="008269FB"/>
    <w:rsid w:val="00832B07"/>
    <w:rsid w:val="00832FBC"/>
    <w:rsid w:val="008500CB"/>
    <w:rsid w:val="00852210"/>
    <w:rsid w:val="00884EE5"/>
    <w:rsid w:val="00890935"/>
    <w:rsid w:val="008C5960"/>
    <w:rsid w:val="008D1BB2"/>
    <w:rsid w:val="008D1F31"/>
    <w:rsid w:val="008D2635"/>
    <w:rsid w:val="008E3207"/>
    <w:rsid w:val="00917511"/>
    <w:rsid w:val="009203C1"/>
    <w:rsid w:val="00924E52"/>
    <w:rsid w:val="0092602B"/>
    <w:rsid w:val="00941BD5"/>
    <w:rsid w:val="00953185"/>
    <w:rsid w:val="009548FB"/>
    <w:rsid w:val="00975A33"/>
    <w:rsid w:val="00983289"/>
    <w:rsid w:val="009931B3"/>
    <w:rsid w:val="00996FE4"/>
    <w:rsid w:val="009A0678"/>
    <w:rsid w:val="009A08F3"/>
    <w:rsid w:val="009A2456"/>
    <w:rsid w:val="009A2D91"/>
    <w:rsid w:val="009C7C57"/>
    <w:rsid w:val="009D47DA"/>
    <w:rsid w:val="009F36D0"/>
    <w:rsid w:val="00A01E09"/>
    <w:rsid w:val="00A11C60"/>
    <w:rsid w:val="00A121DD"/>
    <w:rsid w:val="00A2011C"/>
    <w:rsid w:val="00A31521"/>
    <w:rsid w:val="00A32F46"/>
    <w:rsid w:val="00A41DC9"/>
    <w:rsid w:val="00A579E7"/>
    <w:rsid w:val="00A67A6F"/>
    <w:rsid w:val="00A67CD3"/>
    <w:rsid w:val="00A76BEC"/>
    <w:rsid w:val="00A823D1"/>
    <w:rsid w:val="00AA2CEF"/>
    <w:rsid w:val="00AB11DC"/>
    <w:rsid w:val="00AC1BA7"/>
    <w:rsid w:val="00AC41BE"/>
    <w:rsid w:val="00AD396E"/>
    <w:rsid w:val="00AD3D1C"/>
    <w:rsid w:val="00AD7E51"/>
    <w:rsid w:val="00AE5D36"/>
    <w:rsid w:val="00AE7845"/>
    <w:rsid w:val="00AF0712"/>
    <w:rsid w:val="00B0084F"/>
    <w:rsid w:val="00B1192B"/>
    <w:rsid w:val="00B11CC9"/>
    <w:rsid w:val="00B23C8A"/>
    <w:rsid w:val="00B3211E"/>
    <w:rsid w:val="00B3301D"/>
    <w:rsid w:val="00B42BF1"/>
    <w:rsid w:val="00B47297"/>
    <w:rsid w:val="00B526FA"/>
    <w:rsid w:val="00B770EA"/>
    <w:rsid w:val="00B818FE"/>
    <w:rsid w:val="00BB4420"/>
    <w:rsid w:val="00BE368D"/>
    <w:rsid w:val="00C14A6E"/>
    <w:rsid w:val="00C25B71"/>
    <w:rsid w:val="00C373DE"/>
    <w:rsid w:val="00C5230E"/>
    <w:rsid w:val="00C61455"/>
    <w:rsid w:val="00C91ACE"/>
    <w:rsid w:val="00C931DF"/>
    <w:rsid w:val="00CA20CE"/>
    <w:rsid w:val="00CB2946"/>
    <w:rsid w:val="00CD4C0A"/>
    <w:rsid w:val="00CF6CFF"/>
    <w:rsid w:val="00D00385"/>
    <w:rsid w:val="00D10787"/>
    <w:rsid w:val="00D15C1E"/>
    <w:rsid w:val="00D17967"/>
    <w:rsid w:val="00D34E1F"/>
    <w:rsid w:val="00D43375"/>
    <w:rsid w:val="00D45BF5"/>
    <w:rsid w:val="00D52C1A"/>
    <w:rsid w:val="00D56AF4"/>
    <w:rsid w:val="00D61730"/>
    <w:rsid w:val="00D61E7C"/>
    <w:rsid w:val="00D62AF5"/>
    <w:rsid w:val="00D656E1"/>
    <w:rsid w:val="00D702B7"/>
    <w:rsid w:val="00D95E08"/>
    <w:rsid w:val="00D96B1B"/>
    <w:rsid w:val="00DA4183"/>
    <w:rsid w:val="00DD18E1"/>
    <w:rsid w:val="00DE6AF1"/>
    <w:rsid w:val="00E31F85"/>
    <w:rsid w:val="00E37602"/>
    <w:rsid w:val="00E4077F"/>
    <w:rsid w:val="00E45C01"/>
    <w:rsid w:val="00E54129"/>
    <w:rsid w:val="00E6649B"/>
    <w:rsid w:val="00E73E45"/>
    <w:rsid w:val="00E74E0E"/>
    <w:rsid w:val="00E9172B"/>
    <w:rsid w:val="00EB2148"/>
    <w:rsid w:val="00EB2C2C"/>
    <w:rsid w:val="00EB39A2"/>
    <w:rsid w:val="00EB3F8B"/>
    <w:rsid w:val="00EE2641"/>
    <w:rsid w:val="00EE2E8E"/>
    <w:rsid w:val="00EF231F"/>
    <w:rsid w:val="00F02144"/>
    <w:rsid w:val="00F14C68"/>
    <w:rsid w:val="00F4449B"/>
    <w:rsid w:val="00F46503"/>
    <w:rsid w:val="00F51D4E"/>
    <w:rsid w:val="00F5223C"/>
    <w:rsid w:val="00F57016"/>
    <w:rsid w:val="00F71668"/>
    <w:rsid w:val="00F81BD1"/>
    <w:rsid w:val="00F87D25"/>
    <w:rsid w:val="00FC7757"/>
    <w:rsid w:val="00FE0CE7"/>
    <w:rsid w:val="00FE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hapeDefaults>
    <o:shapedefaults v:ext="edit" spidmax="2054"/>
    <o:shapelayout v:ext="edit">
      <o:idmap v:ext="edit" data="2"/>
    </o:shapelayout>
  </w:shapeDefaults>
  <w:decimalSymbol w:val="."/>
  <w:listSeparator w:val=","/>
  <w14:docId w14:val="4C975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544"/>
    <w:rPr>
      <w:rFonts w:ascii="Arial" w:hAnsi="Arial"/>
    </w:rPr>
  </w:style>
  <w:style w:type="paragraph" w:styleId="Heading1">
    <w:name w:val="heading 1"/>
    <w:basedOn w:val="Normal"/>
    <w:next w:val="Normal"/>
    <w:qFormat/>
    <w:rsid w:val="005A5544"/>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5A5544"/>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5A5544"/>
    <w:pPr>
      <w:tabs>
        <w:tab w:val="clear" w:pos="3226"/>
        <w:tab w:val="left" w:pos="3222"/>
      </w:tabs>
      <w:ind w:left="3222" w:right="-18"/>
      <w:outlineLvl w:val="2"/>
    </w:pPr>
    <w:rPr>
      <w:b w:val="0"/>
    </w:rPr>
  </w:style>
  <w:style w:type="paragraph" w:styleId="Heading4">
    <w:name w:val="heading 4"/>
    <w:basedOn w:val="Normal"/>
    <w:next w:val="Normal"/>
    <w:qFormat/>
    <w:rsid w:val="005A5544"/>
    <w:pPr>
      <w:keepNext/>
      <w:spacing w:before="800"/>
      <w:jc w:val="center"/>
      <w:outlineLvl w:val="3"/>
    </w:pPr>
    <w:rPr>
      <w:b/>
      <w:sz w:val="12"/>
    </w:rPr>
  </w:style>
  <w:style w:type="paragraph" w:styleId="Heading5">
    <w:name w:val="heading 5"/>
    <w:basedOn w:val="Normal"/>
    <w:next w:val="Normal"/>
    <w:qFormat/>
    <w:rsid w:val="005A5544"/>
    <w:pPr>
      <w:keepNext/>
      <w:widowControl w:val="0"/>
      <w:jc w:val="center"/>
      <w:outlineLvl w:val="4"/>
    </w:pPr>
    <w:rPr>
      <w:b/>
      <w:sz w:val="24"/>
    </w:rPr>
  </w:style>
  <w:style w:type="paragraph" w:styleId="Heading6">
    <w:name w:val="heading 6"/>
    <w:basedOn w:val="Normal"/>
    <w:next w:val="Normal"/>
    <w:qFormat/>
    <w:rsid w:val="005A5544"/>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5A5544"/>
    <w:pPr>
      <w:keepNext/>
      <w:outlineLvl w:val="6"/>
    </w:pPr>
    <w:rPr>
      <w:rFonts w:ascii="Times New Roman" w:hAnsi="Times New Roman"/>
      <w:b/>
      <w:sz w:val="22"/>
    </w:rPr>
  </w:style>
  <w:style w:type="paragraph" w:styleId="Heading8">
    <w:name w:val="heading 8"/>
    <w:basedOn w:val="Normal"/>
    <w:next w:val="Normal"/>
    <w:qFormat/>
    <w:rsid w:val="00757DE5"/>
    <w:pPr>
      <w:spacing w:before="240" w:after="60"/>
      <w:outlineLvl w:val="7"/>
    </w:pPr>
    <w:rPr>
      <w:rFonts w:ascii="Times New Roman" w:hAnsi="Times New Roman"/>
      <w:i/>
      <w:iCs/>
      <w:sz w:val="24"/>
      <w:szCs w:val="24"/>
    </w:rPr>
  </w:style>
  <w:style w:type="paragraph" w:styleId="Heading9">
    <w:name w:val="heading 9"/>
    <w:basedOn w:val="Normal"/>
    <w:next w:val="Normal"/>
    <w:qFormat/>
    <w:rsid w:val="00757DE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ext">
    <w:name w:val="ctext"/>
    <w:basedOn w:val="Normal"/>
    <w:link w:val="ctextChar"/>
    <w:qFormat/>
    <w:rsid w:val="005A5544"/>
    <w:pPr>
      <w:spacing w:before="120" w:after="60"/>
      <w:ind w:left="360"/>
    </w:pPr>
    <w:rPr>
      <w:sz w:val="21"/>
    </w:rPr>
  </w:style>
  <w:style w:type="paragraph" w:customStyle="1" w:styleId="cletteredindent">
    <w:name w:val="cletteredindent"/>
    <w:basedOn w:val="Normal"/>
    <w:rsid w:val="005A5544"/>
    <w:pPr>
      <w:widowControl w:val="0"/>
      <w:spacing w:before="40" w:after="40" w:line="240" w:lineRule="atLeast"/>
      <w:ind w:left="1980" w:hanging="540"/>
    </w:pPr>
    <w:rPr>
      <w:sz w:val="21"/>
    </w:rPr>
  </w:style>
  <w:style w:type="paragraph" w:customStyle="1" w:styleId="cTOCHead">
    <w:name w:val="cTOCHead"/>
    <w:basedOn w:val="chead1"/>
    <w:rsid w:val="005A5544"/>
  </w:style>
  <w:style w:type="paragraph" w:customStyle="1" w:styleId="chead1">
    <w:name w:val="chead1"/>
    <w:basedOn w:val="ctext"/>
    <w:rsid w:val="005A5544"/>
    <w:pPr>
      <w:tabs>
        <w:tab w:val="left" w:pos="1440"/>
      </w:tabs>
      <w:spacing w:before="60"/>
      <w:ind w:left="1440" w:hanging="1440"/>
    </w:pPr>
    <w:rPr>
      <w:b/>
      <w:bCs/>
      <w:caps/>
      <w:color w:val="FFFFFF"/>
      <w:sz w:val="24"/>
    </w:rPr>
  </w:style>
  <w:style w:type="paragraph" w:customStyle="1" w:styleId="cDate1">
    <w:name w:val="cDate1"/>
    <w:basedOn w:val="Normal"/>
    <w:rsid w:val="005A5544"/>
    <w:pPr>
      <w:spacing w:before="60" w:after="60"/>
      <w:jc w:val="right"/>
    </w:pPr>
    <w:rPr>
      <w:b/>
      <w:color w:val="FFFFFF"/>
    </w:rPr>
  </w:style>
  <w:style w:type="character" w:styleId="Hyperlink">
    <w:name w:val="Hyperlink"/>
    <w:uiPriority w:val="99"/>
    <w:rsid w:val="005A5544"/>
    <w:rPr>
      <w:rFonts w:ascii="Arial" w:hAnsi="Arial"/>
      <w:b/>
      <w:dstrike w:val="0"/>
      <w:color w:val="0000FF"/>
      <w:sz w:val="21"/>
      <w:u w:val="single"/>
      <w:vertAlign w:val="baseline"/>
    </w:rPr>
  </w:style>
  <w:style w:type="paragraph" w:styleId="TOC1">
    <w:name w:val="toc 1"/>
    <w:basedOn w:val="Normal"/>
    <w:next w:val="Normal"/>
    <w:autoRedefine/>
    <w:uiPriority w:val="39"/>
    <w:rsid w:val="00D656E1"/>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5A5544"/>
    <w:pPr>
      <w:shd w:val="clear" w:color="auto" w:fill="FFFFFF"/>
      <w:tabs>
        <w:tab w:val="left" w:pos="1440"/>
      </w:tabs>
      <w:ind w:left="1440" w:hanging="1080"/>
    </w:pPr>
    <w:rPr>
      <w:rFonts w:eastAsia="MS Mincho"/>
      <w:noProof/>
      <w:sz w:val="21"/>
    </w:rPr>
  </w:style>
  <w:style w:type="paragraph" w:customStyle="1" w:styleId="ctablespace">
    <w:name w:val="ctablespace"/>
    <w:basedOn w:val="ctext"/>
    <w:link w:val="ctablespaceChar"/>
    <w:rsid w:val="005A5544"/>
    <w:pPr>
      <w:spacing w:before="0" w:after="0"/>
    </w:pPr>
  </w:style>
  <w:style w:type="paragraph" w:customStyle="1" w:styleId="chead2">
    <w:name w:val="chead2"/>
    <w:link w:val="chead2Char"/>
    <w:rsid w:val="00D656E1"/>
    <w:pPr>
      <w:tabs>
        <w:tab w:val="left" w:pos="1440"/>
      </w:tabs>
      <w:spacing w:before="240" w:after="60"/>
      <w:ind w:left="1440" w:hanging="1440"/>
      <w:outlineLvl w:val="0"/>
    </w:pPr>
    <w:rPr>
      <w:rFonts w:ascii="Arial" w:hAnsi="Arial"/>
      <w:b/>
      <w:color w:val="1D73D6"/>
    </w:rPr>
  </w:style>
  <w:style w:type="paragraph" w:customStyle="1" w:styleId="cDate2">
    <w:name w:val="cDate2"/>
    <w:link w:val="cDate2Char"/>
    <w:rsid w:val="00D656E1"/>
    <w:pPr>
      <w:spacing w:before="240" w:after="60"/>
      <w:jc w:val="right"/>
    </w:pPr>
    <w:rPr>
      <w:rFonts w:ascii="Arial" w:hAnsi="Arial"/>
      <w:b/>
      <w:color w:val="1D73D6"/>
      <w:sz w:val="18"/>
    </w:rPr>
  </w:style>
  <w:style w:type="paragraph" w:customStyle="1" w:styleId="CLETTERED">
    <w:name w:val="CLETTERED"/>
    <w:basedOn w:val="Normal"/>
    <w:link w:val="CLETTEREDChar"/>
    <w:qFormat/>
    <w:rsid w:val="005A5544"/>
    <w:pPr>
      <w:spacing w:before="100" w:after="100"/>
      <w:ind w:left="900" w:hanging="540"/>
    </w:pPr>
    <w:rPr>
      <w:rFonts w:eastAsia="MS Mincho"/>
      <w:sz w:val="21"/>
    </w:rPr>
  </w:style>
  <w:style w:type="paragraph" w:customStyle="1" w:styleId="cnumbered">
    <w:name w:val="cnumbered"/>
    <w:basedOn w:val="Normal"/>
    <w:link w:val="cnumberedChar"/>
    <w:rsid w:val="005A5544"/>
    <w:pPr>
      <w:spacing w:before="60" w:after="60"/>
      <w:ind w:left="1440" w:hanging="533"/>
    </w:pPr>
    <w:rPr>
      <w:rFonts w:eastAsia="MS Mincho"/>
      <w:sz w:val="21"/>
    </w:rPr>
  </w:style>
  <w:style w:type="paragraph" w:customStyle="1" w:styleId="cTableText">
    <w:name w:val="cTableText"/>
    <w:link w:val="cTableTextChar"/>
    <w:rsid w:val="005A5544"/>
    <w:pPr>
      <w:spacing w:before="60" w:after="60"/>
    </w:pPr>
    <w:rPr>
      <w:rFonts w:ascii="Arial" w:hAnsi="Arial"/>
      <w:sz w:val="21"/>
    </w:rPr>
  </w:style>
  <w:style w:type="paragraph" w:customStyle="1" w:styleId="ctableheading">
    <w:name w:val="ctableheading"/>
    <w:basedOn w:val="cTableText"/>
    <w:rsid w:val="005A5544"/>
    <w:rPr>
      <w:b/>
      <w:bCs/>
      <w:color w:val="000000"/>
    </w:rPr>
  </w:style>
  <w:style w:type="paragraph" w:styleId="Header">
    <w:name w:val="header"/>
    <w:aliases w:val="PM HEADER"/>
    <w:basedOn w:val="Normal"/>
    <w:rsid w:val="005A5544"/>
    <w:pPr>
      <w:pBdr>
        <w:bottom w:val="single" w:sz="4" w:space="1" w:color="000000"/>
      </w:pBdr>
      <w:tabs>
        <w:tab w:val="right" w:pos="9720"/>
      </w:tabs>
      <w:ind w:left="-360" w:right="-360"/>
    </w:pPr>
    <w:rPr>
      <w:b/>
      <w:snapToGrid w:val="0"/>
      <w:sz w:val="18"/>
    </w:rPr>
  </w:style>
  <w:style w:type="paragraph" w:styleId="Footer">
    <w:name w:val="footer"/>
    <w:basedOn w:val="Normal"/>
    <w:rsid w:val="005A5544"/>
    <w:pPr>
      <w:pBdr>
        <w:top w:val="single" w:sz="4" w:space="1" w:color="000000"/>
      </w:pBdr>
      <w:tabs>
        <w:tab w:val="right" w:pos="9720"/>
      </w:tabs>
      <w:ind w:left="-360" w:right="-360"/>
    </w:pPr>
    <w:rPr>
      <w:b/>
      <w:bCs/>
      <w:noProof/>
      <w:snapToGrid w:val="0"/>
      <w:sz w:val="18"/>
    </w:rPr>
  </w:style>
  <w:style w:type="character" w:styleId="FollowedHyperlink">
    <w:name w:val="FollowedHyperlink"/>
    <w:rsid w:val="005A5544"/>
    <w:rPr>
      <w:rFonts w:ascii="Arial" w:hAnsi="Arial"/>
      <w:b/>
      <w:dstrike w:val="0"/>
      <w:color w:val="800080"/>
      <w:sz w:val="21"/>
      <w:u w:val="single"/>
      <w:vertAlign w:val="baseline"/>
    </w:rPr>
  </w:style>
  <w:style w:type="paragraph" w:customStyle="1" w:styleId="cAddress">
    <w:name w:val="cAddress"/>
    <w:basedOn w:val="ctext"/>
    <w:rsid w:val="005A5544"/>
    <w:pPr>
      <w:ind w:left="2160"/>
    </w:pPr>
  </w:style>
  <w:style w:type="paragraph" w:styleId="TOC3">
    <w:name w:val="toc 3"/>
    <w:basedOn w:val="Normal"/>
    <w:next w:val="Normal"/>
    <w:autoRedefine/>
    <w:semiHidden/>
    <w:rsid w:val="005A5544"/>
    <w:pPr>
      <w:ind w:left="400"/>
    </w:pPr>
  </w:style>
  <w:style w:type="paragraph" w:styleId="TOC9">
    <w:name w:val="toc 9"/>
    <w:basedOn w:val="Normal"/>
    <w:next w:val="Normal"/>
    <w:autoRedefine/>
    <w:semiHidden/>
    <w:rsid w:val="005A5544"/>
    <w:pPr>
      <w:ind w:left="1600"/>
    </w:pPr>
  </w:style>
  <w:style w:type="paragraph" w:styleId="TOC4">
    <w:name w:val="toc 4"/>
    <w:basedOn w:val="Normal"/>
    <w:next w:val="Normal"/>
    <w:autoRedefine/>
    <w:semiHidden/>
    <w:rsid w:val="005A5544"/>
    <w:pPr>
      <w:ind w:left="600"/>
    </w:pPr>
  </w:style>
  <w:style w:type="paragraph" w:customStyle="1" w:styleId="Note">
    <w:name w:val="Note"/>
    <w:basedOn w:val="ctext"/>
    <w:rsid w:val="005A5544"/>
    <w:pPr>
      <w:tabs>
        <w:tab w:val="left" w:pos="1710"/>
      </w:tabs>
      <w:ind w:left="1710" w:hanging="810"/>
    </w:pPr>
    <w:rPr>
      <w:rFonts w:eastAsia="MS Mincho"/>
      <w:b/>
      <w:bCs/>
    </w:rPr>
  </w:style>
  <w:style w:type="paragraph" w:styleId="TOC5">
    <w:name w:val="toc 5"/>
    <w:basedOn w:val="Normal"/>
    <w:next w:val="Normal"/>
    <w:autoRedefine/>
    <w:semiHidden/>
    <w:rsid w:val="005A5544"/>
    <w:pPr>
      <w:ind w:left="800"/>
    </w:pPr>
  </w:style>
  <w:style w:type="paragraph" w:styleId="TOC6">
    <w:name w:val="toc 6"/>
    <w:basedOn w:val="Normal"/>
    <w:next w:val="Normal"/>
    <w:autoRedefine/>
    <w:semiHidden/>
    <w:rsid w:val="005A5544"/>
    <w:pPr>
      <w:ind w:left="1000"/>
    </w:pPr>
  </w:style>
  <w:style w:type="paragraph" w:styleId="TOC7">
    <w:name w:val="toc 7"/>
    <w:basedOn w:val="Normal"/>
    <w:next w:val="Normal"/>
    <w:autoRedefine/>
    <w:semiHidden/>
    <w:rsid w:val="005A5544"/>
    <w:pPr>
      <w:ind w:left="1200"/>
    </w:pPr>
  </w:style>
  <w:style w:type="paragraph" w:styleId="TOC8">
    <w:name w:val="toc 8"/>
    <w:basedOn w:val="Normal"/>
    <w:next w:val="Normal"/>
    <w:autoRedefine/>
    <w:semiHidden/>
    <w:rsid w:val="005A5544"/>
    <w:pPr>
      <w:ind w:left="1400"/>
    </w:pPr>
  </w:style>
  <w:style w:type="paragraph" w:styleId="BalloonText">
    <w:name w:val="Balloon Text"/>
    <w:basedOn w:val="Normal"/>
    <w:link w:val="BalloonTextChar"/>
    <w:uiPriority w:val="99"/>
    <w:semiHidden/>
    <w:rsid w:val="00757DE5"/>
    <w:rPr>
      <w:rFonts w:ascii="Tahoma" w:hAnsi="Tahoma"/>
      <w:sz w:val="16"/>
      <w:szCs w:val="16"/>
      <w:lang w:val="x-none" w:eastAsia="x-none"/>
    </w:rPr>
  </w:style>
  <w:style w:type="paragraph" w:styleId="BlockText">
    <w:name w:val="Block Text"/>
    <w:basedOn w:val="Normal"/>
    <w:rsid w:val="00757DE5"/>
    <w:pPr>
      <w:spacing w:after="120"/>
      <w:ind w:left="1440" w:right="1440"/>
    </w:pPr>
  </w:style>
  <w:style w:type="paragraph" w:styleId="BodyText">
    <w:name w:val="Body Text"/>
    <w:basedOn w:val="Normal"/>
    <w:rsid w:val="00757DE5"/>
    <w:pPr>
      <w:spacing w:after="120"/>
    </w:pPr>
  </w:style>
  <w:style w:type="paragraph" w:styleId="BodyText2">
    <w:name w:val="Body Text 2"/>
    <w:basedOn w:val="Normal"/>
    <w:rsid w:val="00757DE5"/>
    <w:pPr>
      <w:spacing w:after="120" w:line="480" w:lineRule="auto"/>
    </w:pPr>
  </w:style>
  <w:style w:type="paragraph" w:styleId="BodyText3">
    <w:name w:val="Body Text 3"/>
    <w:basedOn w:val="Normal"/>
    <w:rsid w:val="00757DE5"/>
    <w:pPr>
      <w:spacing w:after="120"/>
    </w:pPr>
    <w:rPr>
      <w:sz w:val="16"/>
      <w:szCs w:val="16"/>
    </w:rPr>
  </w:style>
  <w:style w:type="paragraph" w:styleId="BodyTextFirstIndent">
    <w:name w:val="Body Text First Indent"/>
    <w:basedOn w:val="BodyText"/>
    <w:rsid w:val="00757DE5"/>
    <w:pPr>
      <w:ind w:firstLine="210"/>
    </w:pPr>
  </w:style>
  <w:style w:type="paragraph" w:styleId="BodyTextIndent">
    <w:name w:val="Body Text Indent"/>
    <w:basedOn w:val="Normal"/>
    <w:rsid w:val="00757DE5"/>
    <w:pPr>
      <w:spacing w:after="120"/>
      <w:ind w:left="360"/>
    </w:pPr>
  </w:style>
  <w:style w:type="paragraph" w:styleId="BodyTextFirstIndent2">
    <w:name w:val="Body Text First Indent 2"/>
    <w:basedOn w:val="BodyTextIndent"/>
    <w:rsid w:val="00757DE5"/>
    <w:pPr>
      <w:ind w:firstLine="210"/>
    </w:pPr>
  </w:style>
  <w:style w:type="paragraph" w:styleId="BodyTextIndent2">
    <w:name w:val="Body Text Indent 2"/>
    <w:basedOn w:val="Normal"/>
    <w:rsid w:val="00757DE5"/>
    <w:pPr>
      <w:spacing w:after="120" w:line="480" w:lineRule="auto"/>
      <w:ind w:left="360"/>
    </w:pPr>
  </w:style>
  <w:style w:type="paragraph" w:styleId="BodyTextIndent3">
    <w:name w:val="Body Text Indent 3"/>
    <w:basedOn w:val="Normal"/>
    <w:rsid w:val="00757DE5"/>
    <w:pPr>
      <w:spacing w:after="120"/>
      <w:ind w:left="360"/>
    </w:pPr>
    <w:rPr>
      <w:sz w:val="16"/>
      <w:szCs w:val="16"/>
    </w:rPr>
  </w:style>
  <w:style w:type="paragraph" w:styleId="Caption">
    <w:name w:val="caption"/>
    <w:basedOn w:val="Normal"/>
    <w:next w:val="Normal"/>
    <w:qFormat/>
    <w:rsid w:val="00757DE5"/>
    <w:pPr>
      <w:spacing w:before="120" w:after="120"/>
    </w:pPr>
    <w:rPr>
      <w:b/>
      <w:bCs/>
    </w:rPr>
  </w:style>
  <w:style w:type="paragraph" w:styleId="Closing">
    <w:name w:val="Closing"/>
    <w:basedOn w:val="Normal"/>
    <w:rsid w:val="00757DE5"/>
    <w:pPr>
      <w:ind w:left="4320"/>
    </w:pPr>
  </w:style>
  <w:style w:type="paragraph" w:styleId="CommentText">
    <w:name w:val="annotation text"/>
    <w:basedOn w:val="Normal"/>
    <w:semiHidden/>
    <w:rsid w:val="00757DE5"/>
  </w:style>
  <w:style w:type="paragraph" w:styleId="CommentSubject">
    <w:name w:val="annotation subject"/>
    <w:basedOn w:val="CommentText"/>
    <w:next w:val="CommentText"/>
    <w:semiHidden/>
    <w:rsid w:val="00757DE5"/>
    <w:rPr>
      <w:b/>
      <w:bCs/>
    </w:rPr>
  </w:style>
  <w:style w:type="paragraph" w:styleId="Date">
    <w:name w:val="Date"/>
    <w:basedOn w:val="Normal"/>
    <w:next w:val="Normal"/>
    <w:rsid w:val="00757DE5"/>
  </w:style>
  <w:style w:type="paragraph" w:styleId="DocumentMap">
    <w:name w:val="Document Map"/>
    <w:basedOn w:val="Normal"/>
    <w:semiHidden/>
    <w:rsid w:val="00757DE5"/>
    <w:pPr>
      <w:shd w:val="clear" w:color="auto" w:fill="000080"/>
    </w:pPr>
    <w:rPr>
      <w:rFonts w:ascii="Tahoma" w:hAnsi="Tahoma" w:cs="Tahoma"/>
    </w:rPr>
  </w:style>
  <w:style w:type="paragraph" w:styleId="E-mailSignature">
    <w:name w:val="E-mail Signature"/>
    <w:basedOn w:val="Normal"/>
    <w:rsid w:val="00757DE5"/>
  </w:style>
  <w:style w:type="paragraph" w:styleId="EndnoteText">
    <w:name w:val="endnote text"/>
    <w:basedOn w:val="Normal"/>
    <w:semiHidden/>
    <w:rsid w:val="00757DE5"/>
  </w:style>
  <w:style w:type="paragraph" w:styleId="EnvelopeAddress">
    <w:name w:val="envelope address"/>
    <w:basedOn w:val="Normal"/>
    <w:rsid w:val="00757DE5"/>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57DE5"/>
    <w:rPr>
      <w:rFonts w:cs="Arial"/>
    </w:rPr>
  </w:style>
  <w:style w:type="paragraph" w:styleId="FootnoteText">
    <w:name w:val="footnote text"/>
    <w:basedOn w:val="Normal"/>
    <w:semiHidden/>
    <w:rsid w:val="00757DE5"/>
  </w:style>
  <w:style w:type="paragraph" w:styleId="HTMLAddress">
    <w:name w:val="HTML Address"/>
    <w:basedOn w:val="Normal"/>
    <w:rsid w:val="00757DE5"/>
    <w:rPr>
      <w:i/>
      <w:iCs/>
    </w:rPr>
  </w:style>
  <w:style w:type="paragraph" w:styleId="HTMLPreformatted">
    <w:name w:val="HTML Preformatted"/>
    <w:basedOn w:val="Normal"/>
    <w:rsid w:val="00757DE5"/>
    <w:rPr>
      <w:rFonts w:ascii="Courier New" w:hAnsi="Courier New" w:cs="Courier New"/>
    </w:rPr>
  </w:style>
  <w:style w:type="paragraph" w:styleId="Index1">
    <w:name w:val="index 1"/>
    <w:basedOn w:val="Normal"/>
    <w:next w:val="Normal"/>
    <w:autoRedefine/>
    <w:semiHidden/>
    <w:rsid w:val="00757DE5"/>
    <w:pPr>
      <w:ind w:left="200" w:hanging="200"/>
    </w:pPr>
  </w:style>
  <w:style w:type="paragraph" w:styleId="Index2">
    <w:name w:val="index 2"/>
    <w:basedOn w:val="Normal"/>
    <w:next w:val="Normal"/>
    <w:autoRedefine/>
    <w:semiHidden/>
    <w:rsid w:val="00757DE5"/>
    <w:pPr>
      <w:ind w:left="400" w:hanging="200"/>
    </w:pPr>
  </w:style>
  <w:style w:type="paragraph" w:styleId="Index3">
    <w:name w:val="index 3"/>
    <w:basedOn w:val="Normal"/>
    <w:next w:val="Normal"/>
    <w:autoRedefine/>
    <w:semiHidden/>
    <w:rsid w:val="00757DE5"/>
    <w:pPr>
      <w:ind w:left="600" w:hanging="200"/>
    </w:pPr>
  </w:style>
  <w:style w:type="paragraph" w:styleId="Index4">
    <w:name w:val="index 4"/>
    <w:basedOn w:val="Normal"/>
    <w:next w:val="Normal"/>
    <w:autoRedefine/>
    <w:semiHidden/>
    <w:rsid w:val="00757DE5"/>
    <w:pPr>
      <w:ind w:left="800" w:hanging="200"/>
    </w:pPr>
  </w:style>
  <w:style w:type="paragraph" w:styleId="Index5">
    <w:name w:val="index 5"/>
    <w:basedOn w:val="Normal"/>
    <w:next w:val="Normal"/>
    <w:autoRedefine/>
    <w:semiHidden/>
    <w:rsid w:val="00757DE5"/>
    <w:pPr>
      <w:ind w:left="1000" w:hanging="200"/>
    </w:pPr>
  </w:style>
  <w:style w:type="paragraph" w:styleId="Index6">
    <w:name w:val="index 6"/>
    <w:basedOn w:val="Normal"/>
    <w:next w:val="Normal"/>
    <w:autoRedefine/>
    <w:semiHidden/>
    <w:rsid w:val="00757DE5"/>
    <w:pPr>
      <w:ind w:left="1200" w:hanging="200"/>
    </w:pPr>
  </w:style>
  <w:style w:type="paragraph" w:styleId="Index7">
    <w:name w:val="index 7"/>
    <w:basedOn w:val="Normal"/>
    <w:next w:val="Normal"/>
    <w:autoRedefine/>
    <w:semiHidden/>
    <w:rsid w:val="00757DE5"/>
    <w:pPr>
      <w:ind w:left="1400" w:hanging="200"/>
    </w:pPr>
  </w:style>
  <w:style w:type="paragraph" w:styleId="Index8">
    <w:name w:val="index 8"/>
    <w:basedOn w:val="Normal"/>
    <w:next w:val="Normal"/>
    <w:autoRedefine/>
    <w:semiHidden/>
    <w:rsid w:val="00757DE5"/>
    <w:pPr>
      <w:ind w:left="1600" w:hanging="200"/>
    </w:pPr>
  </w:style>
  <w:style w:type="paragraph" w:styleId="Index9">
    <w:name w:val="index 9"/>
    <w:basedOn w:val="Normal"/>
    <w:next w:val="Normal"/>
    <w:autoRedefine/>
    <w:semiHidden/>
    <w:rsid w:val="00757DE5"/>
    <w:pPr>
      <w:ind w:left="1800" w:hanging="200"/>
    </w:pPr>
  </w:style>
  <w:style w:type="paragraph" w:styleId="IndexHeading">
    <w:name w:val="index heading"/>
    <w:basedOn w:val="Normal"/>
    <w:next w:val="Index1"/>
    <w:semiHidden/>
    <w:rsid w:val="00757DE5"/>
    <w:rPr>
      <w:rFonts w:cs="Arial"/>
      <w:b/>
      <w:bCs/>
    </w:rPr>
  </w:style>
  <w:style w:type="paragraph" w:styleId="List">
    <w:name w:val="List"/>
    <w:basedOn w:val="Normal"/>
    <w:rsid w:val="00757DE5"/>
    <w:pPr>
      <w:ind w:left="360" w:hanging="360"/>
    </w:pPr>
  </w:style>
  <w:style w:type="paragraph" w:styleId="List2">
    <w:name w:val="List 2"/>
    <w:basedOn w:val="Normal"/>
    <w:rsid w:val="00757DE5"/>
    <w:pPr>
      <w:ind w:left="720" w:hanging="360"/>
    </w:pPr>
  </w:style>
  <w:style w:type="paragraph" w:styleId="List3">
    <w:name w:val="List 3"/>
    <w:basedOn w:val="Normal"/>
    <w:rsid w:val="00757DE5"/>
    <w:pPr>
      <w:ind w:left="1080" w:hanging="360"/>
    </w:pPr>
  </w:style>
  <w:style w:type="paragraph" w:styleId="List4">
    <w:name w:val="List 4"/>
    <w:basedOn w:val="Normal"/>
    <w:rsid w:val="00757DE5"/>
    <w:pPr>
      <w:ind w:left="1440" w:hanging="360"/>
    </w:pPr>
  </w:style>
  <w:style w:type="paragraph" w:styleId="List5">
    <w:name w:val="List 5"/>
    <w:basedOn w:val="Normal"/>
    <w:rsid w:val="00757DE5"/>
    <w:pPr>
      <w:ind w:left="1800" w:hanging="360"/>
    </w:pPr>
  </w:style>
  <w:style w:type="paragraph" w:styleId="ListBullet">
    <w:name w:val="List Bullet"/>
    <w:basedOn w:val="Normal"/>
    <w:autoRedefine/>
    <w:rsid w:val="00757DE5"/>
    <w:pPr>
      <w:numPr>
        <w:numId w:val="1"/>
      </w:numPr>
    </w:pPr>
  </w:style>
  <w:style w:type="paragraph" w:styleId="ListBullet2">
    <w:name w:val="List Bullet 2"/>
    <w:basedOn w:val="Normal"/>
    <w:autoRedefine/>
    <w:rsid w:val="00757DE5"/>
    <w:pPr>
      <w:numPr>
        <w:numId w:val="2"/>
      </w:numPr>
    </w:pPr>
  </w:style>
  <w:style w:type="paragraph" w:styleId="ListBullet3">
    <w:name w:val="List Bullet 3"/>
    <w:basedOn w:val="Normal"/>
    <w:autoRedefine/>
    <w:rsid w:val="00757DE5"/>
    <w:pPr>
      <w:numPr>
        <w:numId w:val="3"/>
      </w:numPr>
    </w:pPr>
  </w:style>
  <w:style w:type="paragraph" w:styleId="ListBullet4">
    <w:name w:val="List Bullet 4"/>
    <w:basedOn w:val="Normal"/>
    <w:autoRedefine/>
    <w:rsid w:val="00757DE5"/>
    <w:pPr>
      <w:numPr>
        <w:numId w:val="4"/>
      </w:numPr>
    </w:pPr>
  </w:style>
  <w:style w:type="paragraph" w:styleId="ListBullet5">
    <w:name w:val="List Bullet 5"/>
    <w:basedOn w:val="Normal"/>
    <w:autoRedefine/>
    <w:rsid w:val="00757DE5"/>
    <w:pPr>
      <w:numPr>
        <w:numId w:val="5"/>
      </w:numPr>
    </w:pPr>
  </w:style>
  <w:style w:type="paragraph" w:styleId="ListContinue">
    <w:name w:val="List Continue"/>
    <w:basedOn w:val="Normal"/>
    <w:rsid w:val="00757DE5"/>
    <w:pPr>
      <w:spacing w:after="120"/>
      <w:ind w:left="360"/>
    </w:pPr>
  </w:style>
  <w:style w:type="paragraph" w:styleId="ListContinue2">
    <w:name w:val="List Continue 2"/>
    <w:basedOn w:val="Normal"/>
    <w:rsid w:val="00757DE5"/>
    <w:pPr>
      <w:spacing w:after="120"/>
      <w:ind w:left="720"/>
    </w:pPr>
  </w:style>
  <w:style w:type="paragraph" w:styleId="ListContinue3">
    <w:name w:val="List Continue 3"/>
    <w:basedOn w:val="Normal"/>
    <w:rsid w:val="00757DE5"/>
    <w:pPr>
      <w:spacing w:after="120"/>
      <w:ind w:left="1080"/>
    </w:pPr>
  </w:style>
  <w:style w:type="paragraph" w:styleId="ListContinue4">
    <w:name w:val="List Continue 4"/>
    <w:basedOn w:val="Normal"/>
    <w:rsid w:val="00757DE5"/>
    <w:pPr>
      <w:spacing w:after="120"/>
      <w:ind w:left="1440"/>
    </w:pPr>
  </w:style>
  <w:style w:type="paragraph" w:styleId="ListContinue5">
    <w:name w:val="List Continue 5"/>
    <w:basedOn w:val="Normal"/>
    <w:rsid w:val="00757DE5"/>
    <w:pPr>
      <w:spacing w:after="120"/>
      <w:ind w:left="1800"/>
    </w:pPr>
  </w:style>
  <w:style w:type="paragraph" w:styleId="ListNumber">
    <w:name w:val="List Number"/>
    <w:basedOn w:val="Normal"/>
    <w:rsid w:val="00757DE5"/>
    <w:pPr>
      <w:numPr>
        <w:numId w:val="6"/>
      </w:numPr>
    </w:pPr>
  </w:style>
  <w:style w:type="paragraph" w:styleId="ListNumber2">
    <w:name w:val="List Number 2"/>
    <w:basedOn w:val="Normal"/>
    <w:rsid w:val="00757DE5"/>
    <w:pPr>
      <w:numPr>
        <w:numId w:val="7"/>
      </w:numPr>
    </w:pPr>
  </w:style>
  <w:style w:type="paragraph" w:styleId="ListNumber3">
    <w:name w:val="List Number 3"/>
    <w:basedOn w:val="Normal"/>
    <w:rsid w:val="00757DE5"/>
    <w:pPr>
      <w:numPr>
        <w:numId w:val="8"/>
      </w:numPr>
    </w:pPr>
  </w:style>
  <w:style w:type="paragraph" w:styleId="ListNumber4">
    <w:name w:val="List Number 4"/>
    <w:basedOn w:val="Normal"/>
    <w:rsid w:val="00757DE5"/>
    <w:pPr>
      <w:numPr>
        <w:numId w:val="9"/>
      </w:numPr>
    </w:pPr>
  </w:style>
  <w:style w:type="paragraph" w:styleId="ListNumber5">
    <w:name w:val="List Number 5"/>
    <w:basedOn w:val="Normal"/>
    <w:rsid w:val="00757DE5"/>
    <w:pPr>
      <w:numPr>
        <w:numId w:val="10"/>
      </w:numPr>
    </w:pPr>
  </w:style>
  <w:style w:type="paragraph" w:styleId="MacroText">
    <w:name w:val="macro"/>
    <w:semiHidden/>
    <w:rsid w:val="00757D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7DE5"/>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757DE5"/>
    <w:rPr>
      <w:rFonts w:ascii="Times New Roman" w:hAnsi="Times New Roman"/>
      <w:sz w:val="24"/>
      <w:szCs w:val="24"/>
    </w:rPr>
  </w:style>
  <w:style w:type="paragraph" w:styleId="NormalIndent">
    <w:name w:val="Normal Indent"/>
    <w:basedOn w:val="Normal"/>
    <w:rsid w:val="00757DE5"/>
    <w:pPr>
      <w:ind w:left="720"/>
    </w:pPr>
  </w:style>
  <w:style w:type="paragraph" w:styleId="NoteHeading">
    <w:name w:val="Note Heading"/>
    <w:basedOn w:val="Normal"/>
    <w:next w:val="Normal"/>
    <w:rsid w:val="00757DE5"/>
  </w:style>
  <w:style w:type="paragraph" w:styleId="PlainText">
    <w:name w:val="Plain Text"/>
    <w:basedOn w:val="Normal"/>
    <w:rsid w:val="00757DE5"/>
    <w:rPr>
      <w:rFonts w:ascii="Courier New" w:hAnsi="Courier New" w:cs="Courier New"/>
    </w:rPr>
  </w:style>
  <w:style w:type="paragraph" w:styleId="Salutation">
    <w:name w:val="Salutation"/>
    <w:basedOn w:val="Normal"/>
    <w:next w:val="Normal"/>
    <w:rsid w:val="00757DE5"/>
  </w:style>
  <w:style w:type="paragraph" w:styleId="Signature">
    <w:name w:val="Signature"/>
    <w:basedOn w:val="Normal"/>
    <w:rsid w:val="00757DE5"/>
    <w:pPr>
      <w:ind w:left="4320"/>
    </w:pPr>
  </w:style>
  <w:style w:type="paragraph" w:styleId="Subtitle">
    <w:name w:val="Subtitle"/>
    <w:basedOn w:val="Normal"/>
    <w:qFormat/>
    <w:rsid w:val="00757DE5"/>
    <w:pPr>
      <w:spacing w:after="60"/>
      <w:jc w:val="center"/>
      <w:outlineLvl w:val="1"/>
    </w:pPr>
    <w:rPr>
      <w:rFonts w:cs="Arial"/>
      <w:sz w:val="24"/>
      <w:szCs w:val="24"/>
    </w:rPr>
  </w:style>
  <w:style w:type="paragraph" w:styleId="TableofAuthorities">
    <w:name w:val="table of authorities"/>
    <w:basedOn w:val="Normal"/>
    <w:next w:val="Normal"/>
    <w:semiHidden/>
    <w:rsid w:val="00757DE5"/>
    <w:pPr>
      <w:ind w:left="200" w:hanging="200"/>
    </w:pPr>
  </w:style>
  <w:style w:type="paragraph" w:styleId="TableofFigures">
    <w:name w:val="table of figures"/>
    <w:basedOn w:val="Normal"/>
    <w:next w:val="Normal"/>
    <w:semiHidden/>
    <w:rsid w:val="00757DE5"/>
    <w:pPr>
      <w:ind w:left="400" w:hanging="400"/>
    </w:pPr>
  </w:style>
  <w:style w:type="paragraph" w:styleId="Title">
    <w:name w:val="Title"/>
    <w:basedOn w:val="Normal"/>
    <w:qFormat/>
    <w:rsid w:val="00757DE5"/>
    <w:pPr>
      <w:spacing w:before="240" w:after="60"/>
      <w:jc w:val="center"/>
      <w:outlineLvl w:val="0"/>
    </w:pPr>
    <w:rPr>
      <w:rFonts w:cs="Arial"/>
      <w:b/>
      <w:bCs/>
      <w:kern w:val="28"/>
      <w:sz w:val="32"/>
      <w:szCs w:val="32"/>
    </w:rPr>
  </w:style>
  <w:style w:type="paragraph" w:styleId="TOAHeading">
    <w:name w:val="toa heading"/>
    <w:basedOn w:val="Normal"/>
    <w:next w:val="Normal"/>
    <w:semiHidden/>
    <w:rsid w:val="00757DE5"/>
    <w:pPr>
      <w:spacing w:before="120"/>
    </w:pPr>
    <w:rPr>
      <w:rFonts w:cs="Arial"/>
      <w:b/>
      <w:bCs/>
      <w:sz w:val="24"/>
      <w:szCs w:val="24"/>
    </w:rPr>
  </w:style>
  <w:style w:type="character" w:customStyle="1" w:styleId="ctextChar">
    <w:name w:val="ctext Char"/>
    <w:link w:val="ctext"/>
    <w:rsid w:val="00442EE0"/>
    <w:rPr>
      <w:rFonts w:ascii="Arial" w:hAnsi="Arial"/>
      <w:sz w:val="21"/>
      <w:lang w:val="en-US" w:eastAsia="en-US" w:bidi="ar-SA"/>
    </w:rPr>
  </w:style>
  <w:style w:type="character" w:customStyle="1" w:styleId="cnumberedChar">
    <w:name w:val="cnumbered Char"/>
    <w:link w:val="cnumbered"/>
    <w:rsid w:val="00442EE0"/>
    <w:rPr>
      <w:rFonts w:ascii="Arial" w:eastAsia="MS Mincho" w:hAnsi="Arial"/>
      <w:sz w:val="21"/>
      <w:lang w:val="en-US" w:eastAsia="en-US" w:bidi="ar-SA"/>
    </w:rPr>
  </w:style>
  <w:style w:type="character" w:customStyle="1" w:styleId="CLETTEREDChar">
    <w:name w:val="CLETTERED Char"/>
    <w:link w:val="CLETTERED"/>
    <w:rsid w:val="007914C8"/>
    <w:rPr>
      <w:rFonts w:ascii="Arial" w:eastAsia="MS Mincho" w:hAnsi="Arial"/>
      <w:sz w:val="21"/>
      <w:lang w:val="en-US" w:eastAsia="en-US" w:bidi="ar-SA"/>
    </w:rPr>
  </w:style>
  <w:style w:type="character" w:customStyle="1" w:styleId="BalloonTextChar">
    <w:name w:val="Balloon Text Char"/>
    <w:link w:val="BalloonText"/>
    <w:uiPriority w:val="99"/>
    <w:semiHidden/>
    <w:rsid w:val="00532996"/>
    <w:rPr>
      <w:rFonts w:ascii="Tahoma" w:hAnsi="Tahoma" w:cs="Tahoma"/>
      <w:sz w:val="16"/>
      <w:szCs w:val="16"/>
    </w:rPr>
  </w:style>
  <w:style w:type="character" w:customStyle="1" w:styleId="chead2Char">
    <w:name w:val="chead2 Char"/>
    <w:link w:val="chead2"/>
    <w:locked/>
    <w:rsid w:val="00D656E1"/>
    <w:rPr>
      <w:rFonts w:ascii="Arial" w:hAnsi="Arial"/>
      <w:b/>
      <w:color w:val="1D73D6"/>
    </w:rPr>
  </w:style>
  <w:style w:type="character" w:customStyle="1" w:styleId="cTableTextChar">
    <w:name w:val="cTableText Char"/>
    <w:link w:val="cTableText"/>
    <w:locked/>
    <w:rsid w:val="00AE5D36"/>
    <w:rPr>
      <w:rFonts w:ascii="Arial" w:hAnsi="Arial"/>
      <w:sz w:val="21"/>
    </w:rPr>
  </w:style>
  <w:style w:type="character" w:customStyle="1" w:styleId="cDate2Char">
    <w:name w:val="cDate2 Char"/>
    <w:link w:val="cDate2"/>
    <w:rsid w:val="003E786A"/>
    <w:rPr>
      <w:rFonts w:ascii="Arial" w:hAnsi="Arial"/>
      <w:b/>
      <w:color w:val="1D73D6"/>
      <w:sz w:val="18"/>
    </w:rPr>
  </w:style>
  <w:style w:type="character" w:customStyle="1" w:styleId="CLETTEREDCharChar">
    <w:name w:val="CLETTERED Char Char"/>
    <w:rsid w:val="003E786A"/>
    <w:rPr>
      <w:rFonts w:ascii="Arial" w:eastAsia="MS Mincho" w:hAnsi="Arial"/>
      <w:sz w:val="21"/>
    </w:rPr>
  </w:style>
  <w:style w:type="character" w:customStyle="1" w:styleId="ctablespaceChar">
    <w:name w:val="ctablespace Char"/>
    <w:link w:val="ctablespace"/>
    <w:rsid w:val="003E786A"/>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253">
      <w:bodyDiv w:val="1"/>
      <w:marLeft w:val="0"/>
      <w:marRight w:val="0"/>
      <w:marTop w:val="0"/>
      <w:marBottom w:val="0"/>
      <w:divBdr>
        <w:top w:val="none" w:sz="0" w:space="0" w:color="auto"/>
        <w:left w:val="none" w:sz="0" w:space="0" w:color="auto"/>
        <w:bottom w:val="none" w:sz="0" w:space="0" w:color="auto"/>
        <w:right w:val="none" w:sz="0" w:space="0" w:color="auto"/>
      </w:divBdr>
    </w:div>
    <w:div w:id="73430676">
      <w:bodyDiv w:val="1"/>
      <w:marLeft w:val="0"/>
      <w:marRight w:val="0"/>
      <w:marTop w:val="0"/>
      <w:marBottom w:val="0"/>
      <w:divBdr>
        <w:top w:val="none" w:sz="0" w:space="0" w:color="auto"/>
        <w:left w:val="none" w:sz="0" w:space="0" w:color="auto"/>
        <w:bottom w:val="none" w:sz="0" w:space="0" w:color="auto"/>
        <w:right w:val="none" w:sz="0" w:space="0" w:color="auto"/>
      </w:divBdr>
    </w:div>
    <w:div w:id="132603509">
      <w:bodyDiv w:val="1"/>
      <w:marLeft w:val="0"/>
      <w:marRight w:val="0"/>
      <w:marTop w:val="0"/>
      <w:marBottom w:val="0"/>
      <w:divBdr>
        <w:top w:val="none" w:sz="0" w:space="0" w:color="auto"/>
        <w:left w:val="none" w:sz="0" w:space="0" w:color="auto"/>
        <w:bottom w:val="none" w:sz="0" w:space="0" w:color="auto"/>
        <w:right w:val="none" w:sz="0" w:space="0" w:color="auto"/>
      </w:divBdr>
    </w:div>
    <w:div w:id="155611117">
      <w:bodyDiv w:val="1"/>
      <w:marLeft w:val="0"/>
      <w:marRight w:val="0"/>
      <w:marTop w:val="0"/>
      <w:marBottom w:val="0"/>
      <w:divBdr>
        <w:top w:val="none" w:sz="0" w:space="0" w:color="auto"/>
        <w:left w:val="none" w:sz="0" w:space="0" w:color="auto"/>
        <w:bottom w:val="none" w:sz="0" w:space="0" w:color="auto"/>
        <w:right w:val="none" w:sz="0" w:space="0" w:color="auto"/>
      </w:divBdr>
    </w:div>
    <w:div w:id="257687758">
      <w:bodyDiv w:val="1"/>
      <w:marLeft w:val="0"/>
      <w:marRight w:val="0"/>
      <w:marTop w:val="0"/>
      <w:marBottom w:val="0"/>
      <w:divBdr>
        <w:top w:val="none" w:sz="0" w:space="0" w:color="auto"/>
        <w:left w:val="none" w:sz="0" w:space="0" w:color="auto"/>
        <w:bottom w:val="none" w:sz="0" w:space="0" w:color="auto"/>
        <w:right w:val="none" w:sz="0" w:space="0" w:color="auto"/>
      </w:divBdr>
    </w:div>
    <w:div w:id="308940206">
      <w:bodyDiv w:val="1"/>
      <w:marLeft w:val="0"/>
      <w:marRight w:val="0"/>
      <w:marTop w:val="0"/>
      <w:marBottom w:val="0"/>
      <w:divBdr>
        <w:top w:val="none" w:sz="0" w:space="0" w:color="auto"/>
        <w:left w:val="none" w:sz="0" w:space="0" w:color="auto"/>
        <w:bottom w:val="none" w:sz="0" w:space="0" w:color="auto"/>
        <w:right w:val="none" w:sz="0" w:space="0" w:color="auto"/>
      </w:divBdr>
    </w:div>
    <w:div w:id="350884001">
      <w:bodyDiv w:val="1"/>
      <w:marLeft w:val="0"/>
      <w:marRight w:val="0"/>
      <w:marTop w:val="0"/>
      <w:marBottom w:val="0"/>
      <w:divBdr>
        <w:top w:val="none" w:sz="0" w:space="0" w:color="auto"/>
        <w:left w:val="none" w:sz="0" w:space="0" w:color="auto"/>
        <w:bottom w:val="none" w:sz="0" w:space="0" w:color="auto"/>
        <w:right w:val="none" w:sz="0" w:space="0" w:color="auto"/>
      </w:divBdr>
    </w:div>
    <w:div w:id="472330212">
      <w:bodyDiv w:val="1"/>
      <w:marLeft w:val="0"/>
      <w:marRight w:val="0"/>
      <w:marTop w:val="0"/>
      <w:marBottom w:val="0"/>
      <w:divBdr>
        <w:top w:val="none" w:sz="0" w:space="0" w:color="auto"/>
        <w:left w:val="none" w:sz="0" w:space="0" w:color="auto"/>
        <w:bottom w:val="none" w:sz="0" w:space="0" w:color="auto"/>
        <w:right w:val="none" w:sz="0" w:space="0" w:color="auto"/>
      </w:divBdr>
    </w:div>
    <w:div w:id="476142674">
      <w:bodyDiv w:val="1"/>
      <w:marLeft w:val="0"/>
      <w:marRight w:val="0"/>
      <w:marTop w:val="0"/>
      <w:marBottom w:val="0"/>
      <w:divBdr>
        <w:top w:val="none" w:sz="0" w:space="0" w:color="auto"/>
        <w:left w:val="none" w:sz="0" w:space="0" w:color="auto"/>
        <w:bottom w:val="none" w:sz="0" w:space="0" w:color="auto"/>
        <w:right w:val="none" w:sz="0" w:space="0" w:color="auto"/>
      </w:divBdr>
    </w:div>
    <w:div w:id="479689297">
      <w:bodyDiv w:val="1"/>
      <w:marLeft w:val="0"/>
      <w:marRight w:val="0"/>
      <w:marTop w:val="0"/>
      <w:marBottom w:val="0"/>
      <w:divBdr>
        <w:top w:val="none" w:sz="0" w:space="0" w:color="auto"/>
        <w:left w:val="none" w:sz="0" w:space="0" w:color="auto"/>
        <w:bottom w:val="none" w:sz="0" w:space="0" w:color="auto"/>
        <w:right w:val="none" w:sz="0" w:space="0" w:color="auto"/>
      </w:divBdr>
    </w:div>
    <w:div w:id="869295308">
      <w:bodyDiv w:val="1"/>
      <w:marLeft w:val="0"/>
      <w:marRight w:val="0"/>
      <w:marTop w:val="0"/>
      <w:marBottom w:val="0"/>
      <w:divBdr>
        <w:top w:val="none" w:sz="0" w:space="0" w:color="auto"/>
        <w:left w:val="none" w:sz="0" w:space="0" w:color="auto"/>
        <w:bottom w:val="none" w:sz="0" w:space="0" w:color="auto"/>
        <w:right w:val="none" w:sz="0" w:space="0" w:color="auto"/>
      </w:divBdr>
    </w:div>
    <w:div w:id="1179194762">
      <w:bodyDiv w:val="1"/>
      <w:marLeft w:val="0"/>
      <w:marRight w:val="0"/>
      <w:marTop w:val="0"/>
      <w:marBottom w:val="0"/>
      <w:divBdr>
        <w:top w:val="none" w:sz="0" w:space="0" w:color="auto"/>
        <w:left w:val="none" w:sz="0" w:space="0" w:color="auto"/>
        <w:bottom w:val="none" w:sz="0" w:space="0" w:color="auto"/>
        <w:right w:val="none" w:sz="0" w:space="0" w:color="auto"/>
      </w:divBdr>
    </w:div>
    <w:div w:id="1257907526">
      <w:bodyDiv w:val="1"/>
      <w:marLeft w:val="0"/>
      <w:marRight w:val="0"/>
      <w:marTop w:val="0"/>
      <w:marBottom w:val="0"/>
      <w:divBdr>
        <w:top w:val="none" w:sz="0" w:space="0" w:color="auto"/>
        <w:left w:val="none" w:sz="0" w:space="0" w:color="auto"/>
        <w:bottom w:val="none" w:sz="0" w:space="0" w:color="auto"/>
        <w:right w:val="none" w:sz="0" w:space="0" w:color="auto"/>
      </w:divBdr>
    </w:div>
    <w:div w:id="1332676787">
      <w:bodyDiv w:val="1"/>
      <w:marLeft w:val="0"/>
      <w:marRight w:val="0"/>
      <w:marTop w:val="0"/>
      <w:marBottom w:val="0"/>
      <w:divBdr>
        <w:top w:val="none" w:sz="0" w:space="0" w:color="auto"/>
        <w:left w:val="none" w:sz="0" w:space="0" w:color="auto"/>
        <w:bottom w:val="none" w:sz="0" w:space="0" w:color="auto"/>
        <w:right w:val="none" w:sz="0" w:space="0" w:color="auto"/>
      </w:divBdr>
    </w:div>
    <w:div w:id="1362172705">
      <w:bodyDiv w:val="1"/>
      <w:marLeft w:val="0"/>
      <w:marRight w:val="0"/>
      <w:marTop w:val="0"/>
      <w:marBottom w:val="0"/>
      <w:divBdr>
        <w:top w:val="none" w:sz="0" w:space="0" w:color="auto"/>
        <w:left w:val="none" w:sz="0" w:space="0" w:color="auto"/>
        <w:bottom w:val="none" w:sz="0" w:space="0" w:color="auto"/>
        <w:right w:val="none" w:sz="0" w:space="0" w:color="auto"/>
      </w:divBdr>
    </w:div>
    <w:div w:id="1569341734">
      <w:bodyDiv w:val="1"/>
      <w:marLeft w:val="0"/>
      <w:marRight w:val="0"/>
      <w:marTop w:val="0"/>
      <w:marBottom w:val="0"/>
      <w:divBdr>
        <w:top w:val="none" w:sz="0" w:space="0" w:color="auto"/>
        <w:left w:val="none" w:sz="0" w:space="0" w:color="auto"/>
        <w:bottom w:val="none" w:sz="0" w:space="0" w:color="auto"/>
        <w:right w:val="none" w:sz="0" w:space="0" w:color="auto"/>
      </w:divBdr>
    </w:div>
    <w:div w:id="1642924742">
      <w:bodyDiv w:val="1"/>
      <w:marLeft w:val="0"/>
      <w:marRight w:val="0"/>
      <w:marTop w:val="0"/>
      <w:marBottom w:val="0"/>
      <w:divBdr>
        <w:top w:val="none" w:sz="0" w:space="0" w:color="auto"/>
        <w:left w:val="none" w:sz="0" w:space="0" w:color="auto"/>
        <w:bottom w:val="none" w:sz="0" w:space="0" w:color="auto"/>
        <w:right w:val="none" w:sz="0" w:space="0" w:color="auto"/>
      </w:divBdr>
    </w:div>
    <w:div w:id="1788549515">
      <w:bodyDiv w:val="1"/>
      <w:marLeft w:val="0"/>
      <w:marRight w:val="0"/>
      <w:marTop w:val="0"/>
      <w:marBottom w:val="0"/>
      <w:divBdr>
        <w:top w:val="none" w:sz="0" w:space="0" w:color="auto"/>
        <w:left w:val="none" w:sz="0" w:space="0" w:color="auto"/>
        <w:bottom w:val="none" w:sz="0" w:space="0" w:color="auto"/>
        <w:right w:val="none" w:sz="0" w:space="0" w:color="auto"/>
      </w:divBdr>
    </w:div>
    <w:div w:id="1931040652">
      <w:bodyDiv w:val="1"/>
      <w:marLeft w:val="0"/>
      <w:marRight w:val="0"/>
      <w:marTop w:val="0"/>
      <w:marBottom w:val="0"/>
      <w:divBdr>
        <w:top w:val="none" w:sz="0" w:space="0" w:color="auto"/>
        <w:left w:val="none" w:sz="0" w:space="0" w:color="auto"/>
        <w:bottom w:val="none" w:sz="0" w:space="0" w:color="auto"/>
        <w:right w:val="none" w:sz="0" w:space="0" w:color="auto"/>
      </w:divBdr>
    </w:div>
    <w:div w:id="1942950393">
      <w:bodyDiv w:val="1"/>
      <w:marLeft w:val="0"/>
      <w:marRight w:val="0"/>
      <w:marTop w:val="0"/>
      <w:marBottom w:val="0"/>
      <w:divBdr>
        <w:top w:val="none" w:sz="0" w:space="0" w:color="auto"/>
        <w:left w:val="none" w:sz="0" w:space="0" w:color="auto"/>
        <w:bottom w:val="none" w:sz="0" w:space="0" w:color="auto"/>
        <w:right w:val="none" w:sz="0" w:space="0" w:color="auto"/>
      </w:divBdr>
    </w:div>
    <w:div w:id="1955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manservices.arkansas.gov/wp-content/uploads/FQHC_220.200_list_3.xls" TargetMode="External"/><Relationship Id="rId21" Type="http://schemas.openxmlformats.org/officeDocument/2006/relationships/hyperlink" Target="https://humanservices.arkansas.gov/wp-content/uploads/DMS-615Checklist.docx" TargetMode="External"/><Relationship Id="rId34" Type="http://schemas.openxmlformats.org/officeDocument/2006/relationships/hyperlink" Target="https://humanservices.arkansas.gov/divisions-shared-services/medical-services/helpful-information-for-providers/fee-schedules/" TargetMode="External"/><Relationship Id="rId42" Type="http://schemas.openxmlformats.org/officeDocument/2006/relationships/hyperlink" Target="https://humanservices.arkansas.gov/wp-content/uploads/FQHC_ProcCodes.xlsx" TargetMode="External"/><Relationship Id="rId47" Type="http://schemas.openxmlformats.org/officeDocument/2006/relationships/hyperlink" Target="https://humanservices.arkansas.gov/wp-content/uploads/Claims.docx" TargetMode="External"/><Relationship Id="rId50" Type="http://schemas.openxmlformats.org/officeDocument/2006/relationships/hyperlink" Target="https://humanservices.arkansas.gov/wp-content/uploads/FQHC_262.440_V70.0.xls" TargetMode="External"/><Relationship Id="rId55" Type="http://schemas.openxmlformats.org/officeDocument/2006/relationships/hyperlink" Target="https://humanservices.arkansas.gov/wp-content/uploads/FQHC_262.440_V72.85.xls"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r.primetherapeutics.com/provider-documents" TargetMode="External"/><Relationship Id="rId29" Type="http://schemas.openxmlformats.org/officeDocument/2006/relationships/hyperlink" Target="https://humanservices.arkansas.gov/wp-content/uploads/DMS-671.docx" TargetMode="External"/><Relationship Id="rId11" Type="http://schemas.openxmlformats.org/officeDocument/2006/relationships/hyperlink" Target="https://humanservices.arkansas.gov/wp-content/uploads/DMS-2608.pdf" TargetMode="External"/><Relationship Id="rId24" Type="http://schemas.openxmlformats.org/officeDocument/2006/relationships/hyperlink" Target="https://humanservices.arkansas.gov/wp-content/uploads/FQHC_220.200_list_1.xls" TargetMode="External"/><Relationship Id="rId32" Type="http://schemas.openxmlformats.org/officeDocument/2006/relationships/hyperlink" Target="https://humanservices.arkansas.gov/wp-content/uploads/DMSFinancialActs.docx" TargetMode="External"/><Relationship Id="rId37" Type="http://schemas.openxmlformats.org/officeDocument/2006/relationships/hyperlink" Target="https://humanservices.arkansas.gov/wp-content/uploads/FQHC_ProcCodes.xlsx" TargetMode="External"/><Relationship Id="rId40" Type="http://schemas.openxmlformats.org/officeDocument/2006/relationships/hyperlink" Target="https://humanservices.arkansas.gov/wp-content/uploads/FQHC_ProcCodes.xlsx" TargetMode="External"/><Relationship Id="rId45" Type="http://schemas.openxmlformats.org/officeDocument/2006/relationships/hyperlink" Target="https://humanservices.arkansas.gov/wp-content/uploads/FQHC_ProcCodes.xlsx" TargetMode="External"/><Relationship Id="rId53" Type="http://schemas.openxmlformats.org/officeDocument/2006/relationships/hyperlink" Target="https://humanservices.arkansas.gov/wp-content/uploads/FQHC_262.440_V70.7.xls" TargetMode="External"/><Relationship Id="rId58" Type="http://schemas.openxmlformats.org/officeDocument/2006/relationships/image" Target="cid:image001.png@01D800BE.1F242B80"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4.png"/><Relationship Id="rId19" Type="http://schemas.openxmlformats.org/officeDocument/2006/relationships/hyperlink" Target="https://humanservices.arkansas.gov/wp-content/uploads/ADACoordinator.docx" TargetMode="External"/><Relationship Id="rId14" Type="http://schemas.openxmlformats.org/officeDocument/2006/relationships/hyperlink" Target="https://humanservices.arkansas.gov/wp-content/uploads/CentralCHS.docx" TargetMode="External"/><Relationship Id="rId22" Type="http://schemas.openxmlformats.org/officeDocument/2006/relationships/hyperlink" Target="https://humanservices.arkansas.gov/wp-content/uploads/DMS-615Checklist.docx" TargetMode="External"/><Relationship Id="rId27" Type="http://schemas.openxmlformats.org/officeDocument/2006/relationships/hyperlink" Target="https://humanservices.arkansas.gov/wp-content/uploads/MAT_ICD-10_ProcCodes.docx" TargetMode="External"/><Relationship Id="rId30" Type="http://schemas.openxmlformats.org/officeDocument/2006/relationships/hyperlink" Target="https://humanservices.arkansas.gov/wp-content/uploads/EsstlHlthBenefitProcCodes.docx" TargetMode="External"/><Relationship Id="rId35" Type="http://schemas.openxmlformats.org/officeDocument/2006/relationships/hyperlink" Target="https://humanservices.arkansas.gov/wp-content/uploads/DMSFinancialActs.docx" TargetMode="External"/><Relationship Id="rId43" Type="http://schemas.openxmlformats.org/officeDocument/2006/relationships/hyperlink" Target="https://humanservices.arkansas.gov/wp-content/uploads/FQHC_ProcCodes.xlsx" TargetMode="External"/><Relationship Id="rId48" Type="http://schemas.openxmlformats.org/officeDocument/2006/relationships/hyperlink" Target="http://www.nucc.org" TargetMode="External"/><Relationship Id="rId56" Type="http://schemas.openxmlformats.org/officeDocument/2006/relationships/hyperlink" Target="https://ar.primetherapeutics.com/documents/268611/269354/Covered+Labelers.pdf/f28e903f-a621-e9b5-07a7-540b736beddd?t=1685117141617"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humanservices.arkansas.gov/wp-content/uploads/FQHC_262.440_V70.3.xls" TargetMode="External"/><Relationship Id="rId3" Type="http://schemas.openxmlformats.org/officeDocument/2006/relationships/customXml" Target="../customXml/item3.xml"/><Relationship Id="rId12" Type="http://schemas.openxmlformats.org/officeDocument/2006/relationships/hyperlink" Target="https://humanservices.arkansas.gov/divisions-shared-services/medical-services/helpful-information-for-providers/manuals/" TargetMode="External"/><Relationship Id="rId17" Type="http://schemas.openxmlformats.org/officeDocument/2006/relationships/hyperlink" Target="https://humanservices.arkansas.gov/wp-content/uploads/DMS-615Checklist.docx" TargetMode="External"/><Relationship Id="rId25" Type="http://schemas.openxmlformats.org/officeDocument/2006/relationships/hyperlink" Target="https://humanservices.arkansas.gov/wp-content/uploads/FQHC_220.200_list_2.xls" TargetMode="External"/><Relationship Id="rId33" Type="http://schemas.openxmlformats.org/officeDocument/2006/relationships/hyperlink" Target="https://humanservices.arkansas.gov/wp-content/uploads/DMSFinancialActs.docx" TargetMode="External"/><Relationship Id="rId38" Type="http://schemas.openxmlformats.org/officeDocument/2006/relationships/hyperlink" Target="https://humanservices.arkansas.gov/wp-content/uploads/FQHC_ProcCodes.xlsx" TargetMode="External"/><Relationship Id="rId46" Type="http://schemas.openxmlformats.org/officeDocument/2006/relationships/hyperlink" Target="https://humanservices.arkansas.gov/wp-content/uploads/SampleCMS-1500.pdf" TargetMode="External"/><Relationship Id="rId59" Type="http://schemas.openxmlformats.org/officeDocument/2006/relationships/image" Target="media/image2.png"/><Relationship Id="rId20" Type="http://schemas.openxmlformats.org/officeDocument/2006/relationships/hyperlink" Target="https://humanservices.arkansas.gov/wp-content/uploads/HP-MFR-001.docx" TargetMode="External"/><Relationship Id="rId41" Type="http://schemas.openxmlformats.org/officeDocument/2006/relationships/hyperlink" Target="https://humanservices.arkansas.gov/wp-content/uploads/FQHC_ProcCodes.xlsx" TargetMode="External"/><Relationship Id="rId54" Type="http://schemas.openxmlformats.org/officeDocument/2006/relationships/hyperlink" Target="https://humanservices.arkansas.gov/wp-content/uploads/FQHC_262.440_V70.9.xls" TargetMode="External"/><Relationship Id="rId62" Type="http://schemas.openxmlformats.org/officeDocument/2006/relationships/hyperlink" Target="https://humanservices.arkansas.gov/wp-content/uploads/FQHC_ProcCodes.xls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manservices.arkansas.gov/wp-content/uploads/ADH.docx" TargetMode="External"/><Relationship Id="rId23" Type="http://schemas.openxmlformats.org/officeDocument/2006/relationships/hyperlink" Target="https://humanservices.arkansas.gov/wp-content/uploads/MAT_ICD-10_ProcCodes.docx" TargetMode="External"/><Relationship Id="rId28" Type="http://schemas.openxmlformats.org/officeDocument/2006/relationships/hyperlink" Target="https://humanservices.arkansas.gov/wp-content/uploads/AFMC.docx" TargetMode="External"/><Relationship Id="rId36" Type="http://schemas.openxmlformats.org/officeDocument/2006/relationships/hyperlink" Target="https://humanservices.arkansas.gov/wp-content/uploads/DMSDirector.docx" TargetMode="External"/><Relationship Id="rId49" Type="http://schemas.openxmlformats.org/officeDocument/2006/relationships/hyperlink" Target="http://www.nucc.org" TargetMode="External"/><Relationship Id="rId57" Type="http://schemas.openxmlformats.org/officeDocument/2006/relationships/image" Target="media/image1.png"/><Relationship Id="rId10" Type="http://schemas.openxmlformats.org/officeDocument/2006/relationships/hyperlink" Target="https://humanservices.arkansas.gov/wp-content/uploads/ProviderEnrol.docx" TargetMode="External"/><Relationship Id="rId31" Type="http://schemas.openxmlformats.org/officeDocument/2006/relationships/hyperlink" Target="https://humanservices.arkansas.gov/divisions-shared-services/medical-services/helpful-information-for-providers/manuals/" TargetMode="External"/><Relationship Id="rId44" Type="http://schemas.openxmlformats.org/officeDocument/2006/relationships/hyperlink" Target="https://humanservices.arkansas.gov/wp-content/uploads/FQHC_ProcCodes.xlsx" TargetMode="External"/><Relationship Id="rId52" Type="http://schemas.openxmlformats.org/officeDocument/2006/relationships/hyperlink" Target="https://humanservices.arkansas.gov/wp-content/uploads/FQHC_262.440_V70.5.xls"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humanservices.arkansas.gov/wp-content/uploads/DMS-831.pdf" TargetMode="External"/><Relationship Id="rId18" Type="http://schemas.openxmlformats.org/officeDocument/2006/relationships/hyperlink" Target="https://humanservices.arkansas.gov/wp-content/uploads/HP-MFR-001.docx" TargetMode="External"/><Relationship Id="rId39" Type="http://schemas.openxmlformats.org/officeDocument/2006/relationships/hyperlink" Target="https://humanservices.arkansas.gov/wp-content/uploads/FQHC_ProcCod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F71B4-B641-4B58-9EF7-95CE615C99BB}">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2.xml><?xml version="1.0" encoding="utf-8"?>
<ds:datastoreItem xmlns:ds="http://schemas.openxmlformats.org/officeDocument/2006/customXml" ds:itemID="{80E8FC13-1F8B-40D1-BCFC-1D1FA28A0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EFEA8-C8A1-47A9-98CA-C083717E7B7E}">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47</Pages>
  <Words>19591</Words>
  <Characters>111669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Federally Qualified Health Center Section II</vt:lpstr>
    </vt:vector>
  </TitlesOfParts>
  <LinksUpToDate>false</LinksUpToDate>
  <CharactersWithSpaces>130999</CharactersWithSpaces>
  <SharedDoc>false</SharedDoc>
  <HyperlinkBase/>
  <HLinks>
    <vt:vector size="1050" baseType="variant">
      <vt:variant>
        <vt:i4>131116</vt:i4>
      </vt:variant>
      <vt:variant>
        <vt:i4>528</vt:i4>
      </vt:variant>
      <vt:variant>
        <vt:i4>0</vt:i4>
      </vt:variant>
      <vt:variant>
        <vt:i4>5</vt:i4>
      </vt:variant>
      <vt:variant>
        <vt:lpwstr>https://humanservices.arkansas.gov/wp-content/uploads/FQHC_ProcCodes.xlsx</vt:lpwstr>
      </vt:variant>
      <vt:variant>
        <vt:lpwstr/>
      </vt:variant>
      <vt:variant>
        <vt:i4>7733352</vt:i4>
      </vt:variant>
      <vt:variant>
        <vt:i4>522</vt:i4>
      </vt:variant>
      <vt:variant>
        <vt:i4>0</vt:i4>
      </vt:variant>
      <vt:variant>
        <vt:i4>5</vt:i4>
      </vt:variant>
      <vt:variant>
        <vt:lpwstr>https://ar.primetherapeutics.com/documents/268611/269354/Covered+Labelers.pdf/f28e903f-a621-e9b5-07a7-540b736beddd?t=1685117141617</vt:lpwstr>
      </vt:variant>
      <vt:variant>
        <vt:lpwstr/>
      </vt:variant>
      <vt:variant>
        <vt:i4>5767250</vt:i4>
      </vt:variant>
      <vt:variant>
        <vt:i4>519</vt:i4>
      </vt:variant>
      <vt:variant>
        <vt:i4>0</vt:i4>
      </vt:variant>
      <vt:variant>
        <vt:i4>5</vt:i4>
      </vt:variant>
      <vt:variant>
        <vt:lpwstr>https://humanservices.arkansas.gov/wp-content/uploads/FQHC_262.440_V72.85.xls</vt:lpwstr>
      </vt:variant>
      <vt:variant>
        <vt:lpwstr/>
      </vt:variant>
      <vt:variant>
        <vt:i4>1179741</vt:i4>
      </vt:variant>
      <vt:variant>
        <vt:i4>516</vt:i4>
      </vt:variant>
      <vt:variant>
        <vt:i4>0</vt:i4>
      </vt:variant>
      <vt:variant>
        <vt:i4>5</vt:i4>
      </vt:variant>
      <vt:variant>
        <vt:lpwstr>https://humanservices.arkansas.gov/wp-content/uploads/FQHC_262.440_V70.9.xls</vt:lpwstr>
      </vt:variant>
      <vt:variant>
        <vt:lpwstr/>
      </vt:variant>
      <vt:variant>
        <vt:i4>1835101</vt:i4>
      </vt:variant>
      <vt:variant>
        <vt:i4>513</vt:i4>
      </vt:variant>
      <vt:variant>
        <vt:i4>0</vt:i4>
      </vt:variant>
      <vt:variant>
        <vt:i4>5</vt:i4>
      </vt:variant>
      <vt:variant>
        <vt:lpwstr>https://humanservices.arkansas.gov/wp-content/uploads/FQHC_262.440_V70.7.xls</vt:lpwstr>
      </vt:variant>
      <vt:variant>
        <vt:lpwstr/>
      </vt:variant>
      <vt:variant>
        <vt:i4>1966173</vt:i4>
      </vt:variant>
      <vt:variant>
        <vt:i4>510</vt:i4>
      </vt:variant>
      <vt:variant>
        <vt:i4>0</vt:i4>
      </vt:variant>
      <vt:variant>
        <vt:i4>5</vt:i4>
      </vt:variant>
      <vt:variant>
        <vt:lpwstr>https://humanservices.arkansas.gov/wp-content/uploads/FQHC_262.440_V70.5.xls</vt:lpwstr>
      </vt:variant>
      <vt:variant>
        <vt:lpwstr/>
      </vt:variant>
      <vt:variant>
        <vt:i4>1572957</vt:i4>
      </vt:variant>
      <vt:variant>
        <vt:i4>507</vt:i4>
      </vt:variant>
      <vt:variant>
        <vt:i4>0</vt:i4>
      </vt:variant>
      <vt:variant>
        <vt:i4>5</vt:i4>
      </vt:variant>
      <vt:variant>
        <vt:lpwstr>https://humanservices.arkansas.gov/wp-content/uploads/FQHC_262.440_V70.3.xls</vt:lpwstr>
      </vt:variant>
      <vt:variant>
        <vt:lpwstr/>
      </vt:variant>
      <vt:variant>
        <vt:i4>1769565</vt:i4>
      </vt:variant>
      <vt:variant>
        <vt:i4>504</vt:i4>
      </vt:variant>
      <vt:variant>
        <vt:i4>0</vt:i4>
      </vt:variant>
      <vt:variant>
        <vt:i4>5</vt:i4>
      </vt:variant>
      <vt:variant>
        <vt:lpwstr>https://humanservices.arkansas.gov/wp-content/uploads/FQHC_262.440_V70.0.xls</vt:lpwstr>
      </vt:variant>
      <vt:variant>
        <vt:lpwstr/>
      </vt:variant>
      <vt:variant>
        <vt:i4>5570638</vt:i4>
      </vt:variant>
      <vt:variant>
        <vt:i4>501</vt:i4>
      </vt:variant>
      <vt:variant>
        <vt:i4>0</vt:i4>
      </vt:variant>
      <vt:variant>
        <vt:i4>5</vt:i4>
      </vt:variant>
      <vt:variant>
        <vt:lpwstr>http://www.nucc.org/</vt:lpwstr>
      </vt:variant>
      <vt:variant>
        <vt:lpwstr/>
      </vt:variant>
      <vt:variant>
        <vt:i4>5570638</vt:i4>
      </vt:variant>
      <vt:variant>
        <vt:i4>498</vt:i4>
      </vt:variant>
      <vt:variant>
        <vt:i4>0</vt:i4>
      </vt:variant>
      <vt:variant>
        <vt:i4>5</vt:i4>
      </vt:variant>
      <vt:variant>
        <vt:lpwstr>http://www.nucc.org/</vt:lpwstr>
      </vt:variant>
      <vt:variant>
        <vt:lpwstr/>
      </vt:variant>
      <vt:variant>
        <vt:i4>65546</vt:i4>
      </vt:variant>
      <vt:variant>
        <vt:i4>495</vt:i4>
      </vt:variant>
      <vt:variant>
        <vt:i4>0</vt:i4>
      </vt:variant>
      <vt:variant>
        <vt:i4>5</vt:i4>
      </vt:variant>
      <vt:variant>
        <vt:lpwstr>https://humanservices.arkansas.gov/wp-content/uploads/Claims.doc</vt:lpwstr>
      </vt:variant>
      <vt:variant>
        <vt:lpwstr/>
      </vt:variant>
      <vt:variant>
        <vt:i4>5701645</vt:i4>
      </vt:variant>
      <vt:variant>
        <vt:i4>492</vt:i4>
      </vt:variant>
      <vt:variant>
        <vt:i4>0</vt:i4>
      </vt:variant>
      <vt:variant>
        <vt:i4>5</vt:i4>
      </vt:variant>
      <vt:variant>
        <vt:lpwstr>https://humanservices.arkansas.gov/wp-content/uploads/SampleCMS-1500.pdf</vt:lpwstr>
      </vt:variant>
      <vt:variant>
        <vt:lpwstr/>
      </vt:variant>
      <vt:variant>
        <vt:i4>131116</vt:i4>
      </vt:variant>
      <vt:variant>
        <vt:i4>489</vt:i4>
      </vt:variant>
      <vt:variant>
        <vt:i4>0</vt:i4>
      </vt:variant>
      <vt:variant>
        <vt:i4>5</vt:i4>
      </vt:variant>
      <vt:variant>
        <vt:lpwstr>https://humanservices.arkansas.gov/wp-content/uploads/FQHC_ProcCodes.xlsx</vt:lpwstr>
      </vt:variant>
      <vt:variant>
        <vt:lpwstr/>
      </vt:variant>
      <vt:variant>
        <vt:i4>131116</vt:i4>
      </vt:variant>
      <vt:variant>
        <vt:i4>486</vt:i4>
      </vt:variant>
      <vt:variant>
        <vt:i4>0</vt:i4>
      </vt:variant>
      <vt:variant>
        <vt:i4>5</vt:i4>
      </vt:variant>
      <vt:variant>
        <vt:lpwstr>https://humanservices.arkansas.gov/wp-content/uploads/FQHC_ProcCodes.xlsx</vt:lpwstr>
      </vt:variant>
      <vt:variant>
        <vt:lpwstr/>
      </vt:variant>
      <vt:variant>
        <vt:i4>131116</vt:i4>
      </vt:variant>
      <vt:variant>
        <vt:i4>483</vt:i4>
      </vt:variant>
      <vt:variant>
        <vt:i4>0</vt:i4>
      </vt:variant>
      <vt:variant>
        <vt:i4>5</vt:i4>
      </vt:variant>
      <vt:variant>
        <vt:lpwstr>https://humanservices.arkansas.gov/wp-content/uploads/FQHC_ProcCodes.xlsx</vt:lpwstr>
      </vt:variant>
      <vt:variant>
        <vt:lpwstr/>
      </vt:variant>
      <vt:variant>
        <vt:i4>131116</vt:i4>
      </vt:variant>
      <vt:variant>
        <vt:i4>480</vt:i4>
      </vt:variant>
      <vt:variant>
        <vt:i4>0</vt:i4>
      </vt:variant>
      <vt:variant>
        <vt:i4>5</vt:i4>
      </vt:variant>
      <vt:variant>
        <vt:lpwstr>https://humanservices.arkansas.gov/wp-content/uploads/FQHC_ProcCodes.xlsx</vt:lpwstr>
      </vt:variant>
      <vt:variant>
        <vt:lpwstr/>
      </vt:variant>
      <vt:variant>
        <vt:i4>131116</vt:i4>
      </vt:variant>
      <vt:variant>
        <vt:i4>477</vt:i4>
      </vt:variant>
      <vt:variant>
        <vt:i4>0</vt:i4>
      </vt:variant>
      <vt:variant>
        <vt:i4>5</vt:i4>
      </vt:variant>
      <vt:variant>
        <vt:lpwstr>https://humanservices.arkansas.gov/wp-content/uploads/FQHC_ProcCodes.xlsx</vt:lpwstr>
      </vt:variant>
      <vt:variant>
        <vt:lpwstr/>
      </vt:variant>
      <vt:variant>
        <vt:i4>131116</vt:i4>
      </vt:variant>
      <vt:variant>
        <vt:i4>474</vt:i4>
      </vt:variant>
      <vt:variant>
        <vt:i4>0</vt:i4>
      </vt:variant>
      <vt:variant>
        <vt:i4>5</vt:i4>
      </vt:variant>
      <vt:variant>
        <vt:lpwstr>https://humanservices.arkansas.gov/wp-content/uploads/FQHC_ProcCodes.xlsx</vt:lpwstr>
      </vt:variant>
      <vt:variant>
        <vt:lpwstr/>
      </vt:variant>
      <vt:variant>
        <vt:i4>8192075</vt:i4>
      </vt:variant>
      <vt:variant>
        <vt:i4>471</vt:i4>
      </vt:variant>
      <vt:variant>
        <vt:i4>0</vt:i4>
      </vt:variant>
      <vt:variant>
        <vt:i4>5</vt:i4>
      </vt:variant>
      <vt:variant>
        <vt:lpwstr/>
      </vt:variant>
      <vt:variant>
        <vt:lpwstr>Section262_152</vt:lpwstr>
      </vt:variant>
      <vt:variant>
        <vt:i4>8257610</vt:i4>
      </vt:variant>
      <vt:variant>
        <vt:i4>468</vt:i4>
      </vt:variant>
      <vt:variant>
        <vt:i4>0</vt:i4>
      </vt:variant>
      <vt:variant>
        <vt:i4>5</vt:i4>
      </vt:variant>
      <vt:variant>
        <vt:lpwstr/>
      </vt:variant>
      <vt:variant>
        <vt:lpwstr>Section262_141</vt:lpwstr>
      </vt:variant>
      <vt:variant>
        <vt:i4>131116</vt:i4>
      </vt:variant>
      <vt:variant>
        <vt:i4>465</vt:i4>
      </vt:variant>
      <vt:variant>
        <vt:i4>0</vt:i4>
      </vt:variant>
      <vt:variant>
        <vt:i4>5</vt:i4>
      </vt:variant>
      <vt:variant>
        <vt:lpwstr>https://humanservices.arkansas.gov/wp-content/uploads/FQHC_ProcCodes.xlsx</vt:lpwstr>
      </vt:variant>
      <vt:variant>
        <vt:lpwstr/>
      </vt:variant>
      <vt:variant>
        <vt:i4>131116</vt:i4>
      </vt:variant>
      <vt:variant>
        <vt:i4>462</vt:i4>
      </vt:variant>
      <vt:variant>
        <vt:i4>0</vt:i4>
      </vt:variant>
      <vt:variant>
        <vt:i4>5</vt:i4>
      </vt:variant>
      <vt:variant>
        <vt:lpwstr>https://humanservices.arkansas.gov/wp-content/uploads/FQHC_ProcCodes.xlsx</vt:lpwstr>
      </vt:variant>
      <vt:variant>
        <vt:lpwstr/>
      </vt:variant>
      <vt:variant>
        <vt:i4>131116</vt:i4>
      </vt:variant>
      <vt:variant>
        <vt:i4>459</vt:i4>
      </vt:variant>
      <vt:variant>
        <vt:i4>0</vt:i4>
      </vt:variant>
      <vt:variant>
        <vt:i4>5</vt:i4>
      </vt:variant>
      <vt:variant>
        <vt:lpwstr>https://humanservices.arkansas.gov/wp-content/uploads/FQHC_ProcCodes.xlsx</vt:lpwstr>
      </vt:variant>
      <vt:variant>
        <vt:lpwstr/>
      </vt:variant>
      <vt:variant>
        <vt:i4>4587613</vt:i4>
      </vt:variant>
      <vt:variant>
        <vt:i4>456</vt:i4>
      </vt:variant>
      <vt:variant>
        <vt:i4>0</vt:i4>
      </vt:variant>
      <vt:variant>
        <vt:i4>5</vt:i4>
      </vt:variant>
      <vt:variant>
        <vt:lpwstr>https://humanservices.arkansas.gov/wp-content/uploads/DMSDirector.doc</vt:lpwstr>
      </vt:variant>
      <vt:variant>
        <vt:lpwstr/>
      </vt:variant>
      <vt:variant>
        <vt:i4>6881389</vt:i4>
      </vt:variant>
      <vt:variant>
        <vt:i4>453</vt:i4>
      </vt:variant>
      <vt:variant>
        <vt:i4>0</vt:i4>
      </vt:variant>
      <vt:variant>
        <vt:i4>5</vt:i4>
      </vt:variant>
      <vt:variant>
        <vt:lpwstr>https://humanservices.arkansas.gov/wp-content/uploads/DMSFinancialActs.doc</vt:lpwstr>
      </vt:variant>
      <vt:variant>
        <vt:lpwstr/>
      </vt:variant>
      <vt:variant>
        <vt:i4>3997812</vt:i4>
      </vt:variant>
      <vt:variant>
        <vt:i4>450</vt:i4>
      </vt:variant>
      <vt:variant>
        <vt:i4>0</vt:i4>
      </vt:variant>
      <vt:variant>
        <vt:i4>5</vt:i4>
      </vt:variant>
      <vt:variant>
        <vt:lpwstr>https://humanservices.arkansas.gov/divisions-shared-services/medical-services/helpful-information-for-providers/fee-schedules/</vt:lpwstr>
      </vt:variant>
      <vt:variant>
        <vt:lpwstr/>
      </vt:variant>
      <vt:variant>
        <vt:i4>6881389</vt:i4>
      </vt:variant>
      <vt:variant>
        <vt:i4>447</vt:i4>
      </vt:variant>
      <vt:variant>
        <vt:i4>0</vt:i4>
      </vt:variant>
      <vt:variant>
        <vt:i4>5</vt:i4>
      </vt:variant>
      <vt:variant>
        <vt:lpwstr>https://humanservices.arkansas.gov/wp-content/uploads/DMSFinancialActs.doc</vt:lpwstr>
      </vt:variant>
      <vt:variant>
        <vt:lpwstr/>
      </vt:variant>
      <vt:variant>
        <vt:i4>6881389</vt:i4>
      </vt:variant>
      <vt:variant>
        <vt:i4>444</vt:i4>
      </vt:variant>
      <vt:variant>
        <vt:i4>0</vt:i4>
      </vt:variant>
      <vt:variant>
        <vt:i4>5</vt:i4>
      </vt:variant>
      <vt:variant>
        <vt:lpwstr>https://humanservices.arkansas.gov/wp-content/uploads/DMSFinancialActs.doc</vt:lpwstr>
      </vt:variant>
      <vt:variant>
        <vt:lpwstr/>
      </vt:variant>
      <vt:variant>
        <vt:i4>1769478</vt:i4>
      </vt:variant>
      <vt:variant>
        <vt:i4>441</vt:i4>
      </vt:variant>
      <vt:variant>
        <vt:i4>0</vt:i4>
      </vt:variant>
      <vt:variant>
        <vt:i4>5</vt:i4>
      </vt:variant>
      <vt:variant>
        <vt:lpwstr>https://humanservices.arkansas.gov/divisions-shared-services/medical-services/helpful-information-for-providers/manuals/</vt:lpwstr>
      </vt:variant>
      <vt:variant>
        <vt:lpwstr/>
      </vt:variant>
      <vt:variant>
        <vt:i4>1441804</vt:i4>
      </vt:variant>
      <vt:variant>
        <vt:i4>438</vt:i4>
      </vt:variant>
      <vt:variant>
        <vt:i4>0</vt:i4>
      </vt:variant>
      <vt:variant>
        <vt:i4>5</vt:i4>
      </vt:variant>
      <vt:variant>
        <vt:lpwstr>https://humanservices.arkansas.gov/wp-content/uploads/DHSAppealsHearings.doc</vt:lpwstr>
      </vt:variant>
      <vt:variant>
        <vt:lpwstr/>
      </vt:variant>
      <vt:variant>
        <vt:i4>1441804</vt:i4>
      </vt:variant>
      <vt:variant>
        <vt:i4>435</vt:i4>
      </vt:variant>
      <vt:variant>
        <vt:i4>0</vt:i4>
      </vt:variant>
      <vt:variant>
        <vt:i4>5</vt:i4>
      </vt:variant>
      <vt:variant>
        <vt:lpwstr>https://humanservices.arkansas.gov/wp-content/uploads/DHSAppealsHearings.doc</vt:lpwstr>
      </vt:variant>
      <vt:variant>
        <vt:lpwstr/>
      </vt:variant>
      <vt:variant>
        <vt:i4>3080252</vt:i4>
      </vt:variant>
      <vt:variant>
        <vt:i4>432</vt:i4>
      </vt:variant>
      <vt:variant>
        <vt:i4>0</vt:i4>
      </vt:variant>
      <vt:variant>
        <vt:i4>5</vt:i4>
      </vt:variant>
      <vt:variant>
        <vt:lpwstr>https://humanservices.arkansas.gov/wp-content/uploads/EsstlHlthBenefitProcCodes.doc</vt:lpwstr>
      </vt:variant>
      <vt:variant>
        <vt:lpwstr/>
      </vt:variant>
      <vt:variant>
        <vt:i4>4587600</vt:i4>
      </vt:variant>
      <vt:variant>
        <vt:i4>429</vt:i4>
      </vt:variant>
      <vt:variant>
        <vt:i4>0</vt:i4>
      </vt:variant>
      <vt:variant>
        <vt:i4>5</vt:i4>
      </vt:variant>
      <vt:variant>
        <vt:lpwstr>https://humanservices.arkansas.gov/wp-content/uploads/DMS-671.doc</vt:lpwstr>
      </vt:variant>
      <vt:variant>
        <vt:lpwstr/>
      </vt:variant>
      <vt:variant>
        <vt:i4>7471209</vt:i4>
      </vt:variant>
      <vt:variant>
        <vt:i4>426</vt:i4>
      </vt:variant>
      <vt:variant>
        <vt:i4>0</vt:i4>
      </vt:variant>
      <vt:variant>
        <vt:i4>5</vt:i4>
      </vt:variant>
      <vt:variant>
        <vt:lpwstr>https://humanservices.arkansas.gov/wp-content/uploads/AFMC.doc</vt:lpwstr>
      </vt:variant>
      <vt:variant>
        <vt:lpwstr/>
      </vt:variant>
      <vt:variant>
        <vt:i4>6029316</vt:i4>
      </vt:variant>
      <vt:variant>
        <vt:i4>423</vt:i4>
      </vt:variant>
      <vt:variant>
        <vt:i4>0</vt:i4>
      </vt:variant>
      <vt:variant>
        <vt:i4>5</vt:i4>
      </vt:variant>
      <vt:variant>
        <vt:lpwstr>https://humanservices.arkansas.gov/wp-content/uploads/MAT_ICD-10_ProcCodes.doc</vt:lpwstr>
      </vt:variant>
      <vt:variant>
        <vt:lpwstr/>
      </vt:variant>
      <vt:variant>
        <vt:i4>6291536</vt:i4>
      </vt:variant>
      <vt:variant>
        <vt:i4>420</vt:i4>
      </vt:variant>
      <vt:variant>
        <vt:i4>0</vt:i4>
      </vt:variant>
      <vt:variant>
        <vt:i4>5</vt:i4>
      </vt:variant>
      <vt:variant>
        <vt:lpwstr>https://humanservices.arkansas.gov/wp-content/uploads/FQHC_220.200_list_3.xls</vt:lpwstr>
      </vt:variant>
      <vt:variant>
        <vt:lpwstr/>
      </vt:variant>
      <vt:variant>
        <vt:i4>6291537</vt:i4>
      </vt:variant>
      <vt:variant>
        <vt:i4>417</vt:i4>
      </vt:variant>
      <vt:variant>
        <vt:i4>0</vt:i4>
      </vt:variant>
      <vt:variant>
        <vt:i4>5</vt:i4>
      </vt:variant>
      <vt:variant>
        <vt:lpwstr>https://humanservices.arkansas.gov/wp-content/uploads/FQHC_220.200_list_2.xls</vt:lpwstr>
      </vt:variant>
      <vt:variant>
        <vt:lpwstr/>
      </vt:variant>
      <vt:variant>
        <vt:i4>6291538</vt:i4>
      </vt:variant>
      <vt:variant>
        <vt:i4>414</vt:i4>
      </vt:variant>
      <vt:variant>
        <vt:i4>0</vt:i4>
      </vt:variant>
      <vt:variant>
        <vt:i4>5</vt:i4>
      </vt:variant>
      <vt:variant>
        <vt:lpwstr>https://humanservices.arkansas.gov/wp-content/uploads/FQHC_220.200_list_1.xls</vt:lpwstr>
      </vt:variant>
      <vt:variant>
        <vt:lpwstr/>
      </vt:variant>
      <vt:variant>
        <vt:i4>6029316</vt:i4>
      </vt:variant>
      <vt:variant>
        <vt:i4>411</vt:i4>
      </vt:variant>
      <vt:variant>
        <vt:i4>0</vt:i4>
      </vt:variant>
      <vt:variant>
        <vt:i4>5</vt:i4>
      </vt:variant>
      <vt:variant>
        <vt:lpwstr>https://humanservices.arkansas.gov/wp-content/uploads/MAT_ICD-10_ProcCodes.doc</vt:lpwstr>
      </vt:variant>
      <vt:variant>
        <vt:lpwstr/>
      </vt:variant>
      <vt:variant>
        <vt:i4>7733349</vt:i4>
      </vt:variant>
      <vt:variant>
        <vt:i4>408</vt:i4>
      </vt:variant>
      <vt:variant>
        <vt:i4>0</vt:i4>
      </vt:variant>
      <vt:variant>
        <vt:i4>5</vt:i4>
      </vt:variant>
      <vt:variant>
        <vt:lpwstr>https://humanservices.arkansas.gov/wp-content/uploads/DMS-615Checklist.doc</vt:lpwstr>
      </vt:variant>
      <vt:variant>
        <vt:lpwstr/>
      </vt:variant>
      <vt:variant>
        <vt:i4>7733349</vt:i4>
      </vt:variant>
      <vt:variant>
        <vt:i4>405</vt:i4>
      </vt:variant>
      <vt:variant>
        <vt:i4>0</vt:i4>
      </vt:variant>
      <vt:variant>
        <vt:i4>5</vt:i4>
      </vt:variant>
      <vt:variant>
        <vt:lpwstr>https://humanservices.arkansas.gov/wp-content/uploads/DMS-615Checklist.doc</vt:lpwstr>
      </vt:variant>
      <vt:variant>
        <vt:lpwstr/>
      </vt:variant>
      <vt:variant>
        <vt:i4>1638491</vt:i4>
      </vt:variant>
      <vt:variant>
        <vt:i4>402</vt:i4>
      </vt:variant>
      <vt:variant>
        <vt:i4>0</vt:i4>
      </vt:variant>
      <vt:variant>
        <vt:i4>5</vt:i4>
      </vt:variant>
      <vt:variant>
        <vt:lpwstr>https://humanservices.arkansas.gov/wp-content/uploads/HP-MFR-001.doc</vt:lpwstr>
      </vt:variant>
      <vt:variant>
        <vt:lpwstr/>
      </vt:variant>
      <vt:variant>
        <vt:i4>1245215</vt:i4>
      </vt:variant>
      <vt:variant>
        <vt:i4>399</vt:i4>
      </vt:variant>
      <vt:variant>
        <vt:i4>0</vt:i4>
      </vt:variant>
      <vt:variant>
        <vt:i4>5</vt:i4>
      </vt:variant>
      <vt:variant>
        <vt:lpwstr>https://humanservices.arkansas.gov/wp-content/uploads/ADACoordinator.doc</vt:lpwstr>
      </vt:variant>
      <vt:variant>
        <vt:lpwstr/>
      </vt:variant>
      <vt:variant>
        <vt:i4>1638491</vt:i4>
      </vt:variant>
      <vt:variant>
        <vt:i4>396</vt:i4>
      </vt:variant>
      <vt:variant>
        <vt:i4>0</vt:i4>
      </vt:variant>
      <vt:variant>
        <vt:i4>5</vt:i4>
      </vt:variant>
      <vt:variant>
        <vt:lpwstr>https://humanservices.arkansas.gov/wp-content/uploads/HP-MFR-001.doc</vt:lpwstr>
      </vt:variant>
      <vt:variant>
        <vt:lpwstr/>
      </vt:variant>
      <vt:variant>
        <vt:i4>7733349</vt:i4>
      </vt:variant>
      <vt:variant>
        <vt:i4>393</vt:i4>
      </vt:variant>
      <vt:variant>
        <vt:i4>0</vt:i4>
      </vt:variant>
      <vt:variant>
        <vt:i4>5</vt:i4>
      </vt:variant>
      <vt:variant>
        <vt:lpwstr>https://humanservices.arkansas.gov/wp-content/uploads/DMS-615Checklist.doc</vt:lpwstr>
      </vt:variant>
      <vt:variant>
        <vt:lpwstr/>
      </vt:variant>
      <vt:variant>
        <vt:i4>2162794</vt:i4>
      </vt:variant>
      <vt:variant>
        <vt:i4>390</vt:i4>
      </vt:variant>
      <vt:variant>
        <vt:i4>0</vt:i4>
      </vt:variant>
      <vt:variant>
        <vt:i4>5</vt:i4>
      </vt:variant>
      <vt:variant>
        <vt:lpwstr>https://ar.primetherapeutics.com/provider-documents</vt:lpwstr>
      </vt:variant>
      <vt:variant>
        <vt:lpwstr/>
      </vt:variant>
      <vt:variant>
        <vt:i4>5570633</vt:i4>
      </vt:variant>
      <vt:variant>
        <vt:i4>387</vt:i4>
      </vt:variant>
      <vt:variant>
        <vt:i4>0</vt:i4>
      </vt:variant>
      <vt:variant>
        <vt:i4>5</vt:i4>
      </vt:variant>
      <vt:variant>
        <vt:lpwstr>https://humanservices.arkansas.gov/wp-content/uploads/ADH.doc</vt:lpwstr>
      </vt:variant>
      <vt:variant>
        <vt:lpwstr/>
      </vt:variant>
      <vt:variant>
        <vt:i4>1507358</vt:i4>
      </vt:variant>
      <vt:variant>
        <vt:i4>384</vt:i4>
      </vt:variant>
      <vt:variant>
        <vt:i4>0</vt:i4>
      </vt:variant>
      <vt:variant>
        <vt:i4>5</vt:i4>
      </vt:variant>
      <vt:variant>
        <vt:lpwstr>https://humanservices.arkansas.gov/wp-content/uploads/CentralCHS.doc</vt:lpwstr>
      </vt:variant>
      <vt:variant>
        <vt:lpwstr/>
      </vt:variant>
      <vt:variant>
        <vt:i4>4784202</vt:i4>
      </vt:variant>
      <vt:variant>
        <vt:i4>381</vt:i4>
      </vt:variant>
      <vt:variant>
        <vt:i4>0</vt:i4>
      </vt:variant>
      <vt:variant>
        <vt:i4>5</vt:i4>
      </vt:variant>
      <vt:variant>
        <vt:lpwstr>https://humanservices.arkansas.gov/wp-content/uploads/DMS-831.pdf</vt:lpwstr>
      </vt:variant>
      <vt:variant>
        <vt:lpwstr/>
      </vt:variant>
      <vt:variant>
        <vt:i4>1769478</vt:i4>
      </vt:variant>
      <vt:variant>
        <vt:i4>378</vt:i4>
      </vt:variant>
      <vt:variant>
        <vt:i4>0</vt:i4>
      </vt:variant>
      <vt:variant>
        <vt:i4>5</vt:i4>
      </vt:variant>
      <vt:variant>
        <vt:lpwstr>https://humanservices.arkansas.gov/divisions-shared-services/medical-services/helpful-information-for-providers/manuals/</vt:lpwstr>
      </vt:variant>
      <vt:variant>
        <vt:lpwstr/>
      </vt:variant>
      <vt:variant>
        <vt:i4>2621563</vt:i4>
      </vt:variant>
      <vt:variant>
        <vt:i4>375</vt:i4>
      </vt:variant>
      <vt:variant>
        <vt:i4>0</vt:i4>
      </vt:variant>
      <vt:variant>
        <vt:i4>5</vt:i4>
      </vt:variant>
      <vt:variant>
        <vt:lpwstr>https://humanservices.arkansas.gov/wp-content/uploads/DMS-2608.pdf</vt:lpwstr>
      </vt:variant>
      <vt:variant>
        <vt:lpwstr/>
      </vt:variant>
      <vt:variant>
        <vt:i4>2228264</vt:i4>
      </vt:variant>
      <vt:variant>
        <vt:i4>372</vt:i4>
      </vt:variant>
      <vt:variant>
        <vt:i4>0</vt:i4>
      </vt:variant>
      <vt:variant>
        <vt:i4>5</vt:i4>
      </vt:variant>
      <vt:variant>
        <vt:lpwstr>https://humanservices.arkansas.gov/wp-content/uploads/ProviderEnrol.doc</vt:lpwstr>
      </vt:variant>
      <vt:variant>
        <vt:lpwstr/>
      </vt:variant>
      <vt:variant>
        <vt:i4>1048626</vt:i4>
      </vt:variant>
      <vt:variant>
        <vt:i4>368</vt:i4>
      </vt:variant>
      <vt:variant>
        <vt:i4>0</vt:i4>
      </vt:variant>
      <vt:variant>
        <vt:i4>5</vt:i4>
      </vt:variant>
      <vt:variant>
        <vt:lpwstr/>
      </vt:variant>
      <vt:variant>
        <vt:lpwstr>_Toc153278789</vt:lpwstr>
      </vt:variant>
      <vt:variant>
        <vt:i4>1048626</vt:i4>
      </vt:variant>
      <vt:variant>
        <vt:i4>365</vt:i4>
      </vt:variant>
      <vt:variant>
        <vt:i4>0</vt:i4>
      </vt:variant>
      <vt:variant>
        <vt:i4>5</vt:i4>
      </vt:variant>
      <vt:variant>
        <vt:lpwstr/>
      </vt:variant>
      <vt:variant>
        <vt:lpwstr>_Toc153278788</vt:lpwstr>
      </vt:variant>
      <vt:variant>
        <vt:i4>1048626</vt:i4>
      </vt:variant>
      <vt:variant>
        <vt:i4>362</vt:i4>
      </vt:variant>
      <vt:variant>
        <vt:i4>0</vt:i4>
      </vt:variant>
      <vt:variant>
        <vt:i4>5</vt:i4>
      </vt:variant>
      <vt:variant>
        <vt:lpwstr/>
      </vt:variant>
      <vt:variant>
        <vt:lpwstr>_Toc153278787</vt:lpwstr>
      </vt:variant>
      <vt:variant>
        <vt:i4>1048626</vt:i4>
      </vt:variant>
      <vt:variant>
        <vt:i4>359</vt:i4>
      </vt:variant>
      <vt:variant>
        <vt:i4>0</vt:i4>
      </vt:variant>
      <vt:variant>
        <vt:i4>5</vt:i4>
      </vt:variant>
      <vt:variant>
        <vt:lpwstr/>
      </vt:variant>
      <vt:variant>
        <vt:lpwstr>_Toc153278786</vt:lpwstr>
      </vt:variant>
      <vt:variant>
        <vt:i4>1048626</vt:i4>
      </vt:variant>
      <vt:variant>
        <vt:i4>356</vt:i4>
      </vt:variant>
      <vt:variant>
        <vt:i4>0</vt:i4>
      </vt:variant>
      <vt:variant>
        <vt:i4>5</vt:i4>
      </vt:variant>
      <vt:variant>
        <vt:lpwstr/>
      </vt:variant>
      <vt:variant>
        <vt:lpwstr>_Toc153278785</vt:lpwstr>
      </vt:variant>
      <vt:variant>
        <vt:i4>1048626</vt:i4>
      </vt:variant>
      <vt:variant>
        <vt:i4>353</vt:i4>
      </vt:variant>
      <vt:variant>
        <vt:i4>0</vt:i4>
      </vt:variant>
      <vt:variant>
        <vt:i4>5</vt:i4>
      </vt:variant>
      <vt:variant>
        <vt:lpwstr/>
      </vt:variant>
      <vt:variant>
        <vt:lpwstr>_Toc153278784</vt:lpwstr>
      </vt:variant>
      <vt:variant>
        <vt:i4>1048626</vt:i4>
      </vt:variant>
      <vt:variant>
        <vt:i4>350</vt:i4>
      </vt:variant>
      <vt:variant>
        <vt:i4>0</vt:i4>
      </vt:variant>
      <vt:variant>
        <vt:i4>5</vt:i4>
      </vt:variant>
      <vt:variant>
        <vt:lpwstr/>
      </vt:variant>
      <vt:variant>
        <vt:lpwstr>_Toc153278783</vt:lpwstr>
      </vt:variant>
      <vt:variant>
        <vt:i4>1048626</vt:i4>
      </vt:variant>
      <vt:variant>
        <vt:i4>347</vt:i4>
      </vt:variant>
      <vt:variant>
        <vt:i4>0</vt:i4>
      </vt:variant>
      <vt:variant>
        <vt:i4>5</vt:i4>
      </vt:variant>
      <vt:variant>
        <vt:lpwstr/>
      </vt:variant>
      <vt:variant>
        <vt:lpwstr>_Toc153278782</vt:lpwstr>
      </vt:variant>
      <vt:variant>
        <vt:i4>1048626</vt:i4>
      </vt:variant>
      <vt:variant>
        <vt:i4>344</vt:i4>
      </vt:variant>
      <vt:variant>
        <vt:i4>0</vt:i4>
      </vt:variant>
      <vt:variant>
        <vt:i4>5</vt:i4>
      </vt:variant>
      <vt:variant>
        <vt:lpwstr/>
      </vt:variant>
      <vt:variant>
        <vt:lpwstr>_Toc153278781</vt:lpwstr>
      </vt:variant>
      <vt:variant>
        <vt:i4>1048626</vt:i4>
      </vt:variant>
      <vt:variant>
        <vt:i4>341</vt:i4>
      </vt:variant>
      <vt:variant>
        <vt:i4>0</vt:i4>
      </vt:variant>
      <vt:variant>
        <vt:i4>5</vt:i4>
      </vt:variant>
      <vt:variant>
        <vt:lpwstr/>
      </vt:variant>
      <vt:variant>
        <vt:lpwstr>_Toc153278780</vt:lpwstr>
      </vt:variant>
      <vt:variant>
        <vt:i4>2031666</vt:i4>
      </vt:variant>
      <vt:variant>
        <vt:i4>338</vt:i4>
      </vt:variant>
      <vt:variant>
        <vt:i4>0</vt:i4>
      </vt:variant>
      <vt:variant>
        <vt:i4>5</vt:i4>
      </vt:variant>
      <vt:variant>
        <vt:lpwstr/>
      </vt:variant>
      <vt:variant>
        <vt:lpwstr>_Toc153278779</vt:lpwstr>
      </vt:variant>
      <vt:variant>
        <vt:i4>2031666</vt:i4>
      </vt:variant>
      <vt:variant>
        <vt:i4>335</vt:i4>
      </vt:variant>
      <vt:variant>
        <vt:i4>0</vt:i4>
      </vt:variant>
      <vt:variant>
        <vt:i4>5</vt:i4>
      </vt:variant>
      <vt:variant>
        <vt:lpwstr/>
      </vt:variant>
      <vt:variant>
        <vt:lpwstr>_Toc153278778</vt:lpwstr>
      </vt:variant>
      <vt:variant>
        <vt:i4>2031666</vt:i4>
      </vt:variant>
      <vt:variant>
        <vt:i4>332</vt:i4>
      </vt:variant>
      <vt:variant>
        <vt:i4>0</vt:i4>
      </vt:variant>
      <vt:variant>
        <vt:i4>5</vt:i4>
      </vt:variant>
      <vt:variant>
        <vt:lpwstr/>
      </vt:variant>
      <vt:variant>
        <vt:lpwstr>_Toc153278777</vt:lpwstr>
      </vt:variant>
      <vt:variant>
        <vt:i4>2031666</vt:i4>
      </vt:variant>
      <vt:variant>
        <vt:i4>329</vt:i4>
      </vt:variant>
      <vt:variant>
        <vt:i4>0</vt:i4>
      </vt:variant>
      <vt:variant>
        <vt:i4>5</vt:i4>
      </vt:variant>
      <vt:variant>
        <vt:lpwstr/>
      </vt:variant>
      <vt:variant>
        <vt:lpwstr>_Toc153278776</vt:lpwstr>
      </vt:variant>
      <vt:variant>
        <vt:i4>2031666</vt:i4>
      </vt:variant>
      <vt:variant>
        <vt:i4>326</vt:i4>
      </vt:variant>
      <vt:variant>
        <vt:i4>0</vt:i4>
      </vt:variant>
      <vt:variant>
        <vt:i4>5</vt:i4>
      </vt:variant>
      <vt:variant>
        <vt:lpwstr/>
      </vt:variant>
      <vt:variant>
        <vt:lpwstr>_Toc153278775</vt:lpwstr>
      </vt:variant>
      <vt:variant>
        <vt:i4>2031666</vt:i4>
      </vt:variant>
      <vt:variant>
        <vt:i4>323</vt:i4>
      </vt:variant>
      <vt:variant>
        <vt:i4>0</vt:i4>
      </vt:variant>
      <vt:variant>
        <vt:i4>5</vt:i4>
      </vt:variant>
      <vt:variant>
        <vt:lpwstr/>
      </vt:variant>
      <vt:variant>
        <vt:lpwstr>_Toc153278774</vt:lpwstr>
      </vt:variant>
      <vt:variant>
        <vt:i4>2031666</vt:i4>
      </vt:variant>
      <vt:variant>
        <vt:i4>320</vt:i4>
      </vt:variant>
      <vt:variant>
        <vt:i4>0</vt:i4>
      </vt:variant>
      <vt:variant>
        <vt:i4>5</vt:i4>
      </vt:variant>
      <vt:variant>
        <vt:lpwstr/>
      </vt:variant>
      <vt:variant>
        <vt:lpwstr>_Toc153278773</vt:lpwstr>
      </vt:variant>
      <vt:variant>
        <vt:i4>2031666</vt:i4>
      </vt:variant>
      <vt:variant>
        <vt:i4>317</vt:i4>
      </vt:variant>
      <vt:variant>
        <vt:i4>0</vt:i4>
      </vt:variant>
      <vt:variant>
        <vt:i4>5</vt:i4>
      </vt:variant>
      <vt:variant>
        <vt:lpwstr/>
      </vt:variant>
      <vt:variant>
        <vt:lpwstr>_Toc153278772</vt:lpwstr>
      </vt:variant>
      <vt:variant>
        <vt:i4>2031666</vt:i4>
      </vt:variant>
      <vt:variant>
        <vt:i4>314</vt:i4>
      </vt:variant>
      <vt:variant>
        <vt:i4>0</vt:i4>
      </vt:variant>
      <vt:variant>
        <vt:i4>5</vt:i4>
      </vt:variant>
      <vt:variant>
        <vt:lpwstr/>
      </vt:variant>
      <vt:variant>
        <vt:lpwstr>_Toc153278771</vt:lpwstr>
      </vt:variant>
      <vt:variant>
        <vt:i4>2031666</vt:i4>
      </vt:variant>
      <vt:variant>
        <vt:i4>311</vt:i4>
      </vt:variant>
      <vt:variant>
        <vt:i4>0</vt:i4>
      </vt:variant>
      <vt:variant>
        <vt:i4>5</vt:i4>
      </vt:variant>
      <vt:variant>
        <vt:lpwstr/>
      </vt:variant>
      <vt:variant>
        <vt:lpwstr>_Toc153278770</vt:lpwstr>
      </vt:variant>
      <vt:variant>
        <vt:i4>1966130</vt:i4>
      </vt:variant>
      <vt:variant>
        <vt:i4>308</vt:i4>
      </vt:variant>
      <vt:variant>
        <vt:i4>0</vt:i4>
      </vt:variant>
      <vt:variant>
        <vt:i4>5</vt:i4>
      </vt:variant>
      <vt:variant>
        <vt:lpwstr/>
      </vt:variant>
      <vt:variant>
        <vt:lpwstr>_Toc153278769</vt:lpwstr>
      </vt:variant>
      <vt:variant>
        <vt:i4>1966130</vt:i4>
      </vt:variant>
      <vt:variant>
        <vt:i4>305</vt:i4>
      </vt:variant>
      <vt:variant>
        <vt:i4>0</vt:i4>
      </vt:variant>
      <vt:variant>
        <vt:i4>5</vt:i4>
      </vt:variant>
      <vt:variant>
        <vt:lpwstr/>
      </vt:variant>
      <vt:variant>
        <vt:lpwstr>_Toc153278768</vt:lpwstr>
      </vt:variant>
      <vt:variant>
        <vt:i4>1966130</vt:i4>
      </vt:variant>
      <vt:variant>
        <vt:i4>302</vt:i4>
      </vt:variant>
      <vt:variant>
        <vt:i4>0</vt:i4>
      </vt:variant>
      <vt:variant>
        <vt:i4>5</vt:i4>
      </vt:variant>
      <vt:variant>
        <vt:lpwstr/>
      </vt:variant>
      <vt:variant>
        <vt:lpwstr>_Toc153278767</vt:lpwstr>
      </vt:variant>
      <vt:variant>
        <vt:i4>1966130</vt:i4>
      </vt:variant>
      <vt:variant>
        <vt:i4>299</vt:i4>
      </vt:variant>
      <vt:variant>
        <vt:i4>0</vt:i4>
      </vt:variant>
      <vt:variant>
        <vt:i4>5</vt:i4>
      </vt:variant>
      <vt:variant>
        <vt:lpwstr/>
      </vt:variant>
      <vt:variant>
        <vt:lpwstr>_Toc153278766</vt:lpwstr>
      </vt:variant>
      <vt:variant>
        <vt:i4>1966130</vt:i4>
      </vt:variant>
      <vt:variant>
        <vt:i4>296</vt:i4>
      </vt:variant>
      <vt:variant>
        <vt:i4>0</vt:i4>
      </vt:variant>
      <vt:variant>
        <vt:i4>5</vt:i4>
      </vt:variant>
      <vt:variant>
        <vt:lpwstr/>
      </vt:variant>
      <vt:variant>
        <vt:lpwstr>_Toc153278765</vt:lpwstr>
      </vt:variant>
      <vt:variant>
        <vt:i4>1966130</vt:i4>
      </vt:variant>
      <vt:variant>
        <vt:i4>293</vt:i4>
      </vt:variant>
      <vt:variant>
        <vt:i4>0</vt:i4>
      </vt:variant>
      <vt:variant>
        <vt:i4>5</vt:i4>
      </vt:variant>
      <vt:variant>
        <vt:lpwstr/>
      </vt:variant>
      <vt:variant>
        <vt:lpwstr>_Toc153278764</vt:lpwstr>
      </vt:variant>
      <vt:variant>
        <vt:i4>1966130</vt:i4>
      </vt:variant>
      <vt:variant>
        <vt:i4>290</vt:i4>
      </vt:variant>
      <vt:variant>
        <vt:i4>0</vt:i4>
      </vt:variant>
      <vt:variant>
        <vt:i4>5</vt:i4>
      </vt:variant>
      <vt:variant>
        <vt:lpwstr/>
      </vt:variant>
      <vt:variant>
        <vt:lpwstr>_Toc153278763</vt:lpwstr>
      </vt:variant>
      <vt:variant>
        <vt:i4>1966130</vt:i4>
      </vt:variant>
      <vt:variant>
        <vt:i4>287</vt:i4>
      </vt:variant>
      <vt:variant>
        <vt:i4>0</vt:i4>
      </vt:variant>
      <vt:variant>
        <vt:i4>5</vt:i4>
      </vt:variant>
      <vt:variant>
        <vt:lpwstr/>
      </vt:variant>
      <vt:variant>
        <vt:lpwstr>_Toc153278762</vt:lpwstr>
      </vt:variant>
      <vt:variant>
        <vt:i4>1966130</vt:i4>
      </vt:variant>
      <vt:variant>
        <vt:i4>284</vt:i4>
      </vt:variant>
      <vt:variant>
        <vt:i4>0</vt:i4>
      </vt:variant>
      <vt:variant>
        <vt:i4>5</vt:i4>
      </vt:variant>
      <vt:variant>
        <vt:lpwstr/>
      </vt:variant>
      <vt:variant>
        <vt:lpwstr>_Toc153278761</vt:lpwstr>
      </vt:variant>
      <vt:variant>
        <vt:i4>1966130</vt:i4>
      </vt:variant>
      <vt:variant>
        <vt:i4>281</vt:i4>
      </vt:variant>
      <vt:variant>
        <vt:i4>0</vt:i4>
      </vt:variant>
      <vt:variant>
        <vt:i4>5</vt:i4>
      </vt:variant>
      <vt:variant>
        <vt:lpwstr/>
      </vt:variant>
      <vt:variant>
        <vt:lpwstr>_Toc153278760</vt:lpwstr>
      </vt:variant>
      <vt:variant>
        <vt:i4>1900594</vt:i4>
      </vt:variant>
      <vt:variant>
        <vt:i4>278</vt:i4>
      </vt:variant>
      <vt:variant>
        <vt:i4>0</vt:i4>
      </vt:variant>
      <vt:variant>
        <vt:i4>5</vt:i4>
      </vt:variant>
      <vt:variant>
        <vt:lpwstr/>
      </vt:variant>
      <vt:variant>
        <vt:lpwstr>_Toc153278759</vt:lpwstr>
      </vt:variant>
      <vt:variant>
        <vt:i4>1900594</vt:i4>
      </vt:variant>
      <vt:variant>
        <vt:i4>275</vt:i4>
      </vt:variant>
      <vt:variant>
        <vt:i4>0</vt:i4>
      </vt:variant>
      <vt:variant>
        <vt:i4>5</vt:i4>
      </vt:variant>
      <vt:variant>
        <vt:lpwstr/>
      </vt:variant>
      <vt:variant>
        <vt:lpwstr>_Toc153278758</vt:lpwstr>
      </vt:variant>
      <vt:variant>
        <vt:i4>1900594</vt:i4>
      </vt:variant>
      <vt:variant>
        <vt:i4>272</vt:i4>
      </vt:variant>
      <vt:variant>
        <vt:i4>0</vt:i4>
      </vt:variant>
      <vt:variant>
        <vt:i4>5</vt:i4>
      </vt:variant>
      <vt:variant>
        <vt:lpwstr/>
      </vt:variant>
      <vt:variant>
        <vt:lpwstr>_Toc153278757</vt:lpwstr>
      </vt:variant>
      <vt:variant>
        <vt:i4>1900594</vt:i4>
      </vt:variant>
      <vt:variant>
        <vt:i4>269</vt:i4>
      </vt:variant>
      <vt:variant>
        <vt:i4>0</vt:i4>
      </vt:variant>
      <vt:variant>
        <vt:i4>5</vt:i4>
      </vt:variant>
      <vt:variant>
        <vt:lpwstr/>
      </vt:variant>
      <vt:variant>
        <vt:lpwstr>_Toc153278756</vt:lpwstr>
      </vt:variant>
      <vt:variant>
        <vt:i4>1900594</vt:i4>
      </vt:variant>
      <vt:variant>
        <vt:i4>266</vt:i4>
      </vt:variant>
      <vt:variant>
        <vt:i4>0</vt:i4>
      </vt:variant>
      <vt:variant>
        <vt:i4>5</vt:i4>
      </vt:variant>
      <vt:variant>
        <vt:lpwstr/>
      </vt:variant>
      <vt:variant>
        <vt:lpwstr>_Toc153278755</vt:lpwstr>
      </vt:variant>
      <vt:variant>
        <vt:i4>1900594</vt:i4>
      </vt:variant>
      <vt:variant>
        <vt:i4>263</vt:i4>
      </vt:variant>
      <vt:variant>
        <vt:i4>0</vt:i4>
      </vt:variant>
      <vt:variant>
        <vt:i4>5</vt:i4>
      </vt:variant>
      <vt:variant>
        <vt:lpwstr/>
      </vt:variant>
      <vt:variant>
        <vt:lpwstr>_Toc153278754</vt:lpwstr>
      </vt:variant>
      <vt:variant>
        <vt:i4>1900594</vt:i4>
      </vt:variant>
      <vt:variant>
        <vt:i4>260</vt:i4>
      </vt:variant>
      <vt:variant>
        <vt:i4>0</vt:i4>
      </vt:variant>
      <vt:variant>
        <vt:i4>5</vt:i4>
      </vt:variant>
      <vt:variant>
        <vt:lpwstr/>
      </vt:variant>
      <vt:variant>
        <vt:lpwstr>_Toc153278753</vt:lpwstr>
      </vt:variant>
      <vt:variant>
        <vt:i4>1900594</vt:i4>
      </vt:variant>
      <vt:variant>
        <vt:i4>257</vt:i4>
      </vt:variant>
      <vt:variant>
        <vt:i4>0</vt:i4>
      </vt:variant>
      <vt:variant>
        <vt:i4>5</vt:i4>
      </vt:variant>
      <vt:variant>
        <vt:lpwstr/>
      </vt:variant>
      <vt:variant>
        <vt:lpwstr>_Toc153278752</vt:lpwstr>
      </vt:variant>
      <vt:variant>
        <vt:i4>1900594</vt:i4>
      </vt:variant>
      <vt:variant>
        <vt:i4>254</vt:i4>
      </vt:variant>
      <vt:variant>
        <vt:i4>0</vt:i4>
      </vt:variant>
      <vt:variant>
        <vt:i4>5</vt:i4>
      </vt:variant>
      <vt:variant>
        <vt:lpwstr/>
      </vt:variant>
      <vt:variant>
        <vt:lpwstr>_Toc153278751</vt:lpwstr>
      </vt:variant>
      <vt:variant>
        <vt:i4>1900594</vt:i4>
      </vt:variant>
      <vt:variant>
        <vt:i4>251</vt:i4>
      </vt:variant>
      <vt:variant>
        <vt:i4>0</vt:i4>
      </vt:variant>
      <vt:variant>
        <vt:i4>5</vt:i4>
      </vt:variant>
      <vt:variant>
        <vt:lpwstr/>
      </vt:variant>
      <vt:variant>
        <vt:lpwstr>_Toc153278750</vt:lpwstr>
      </vt:variant>
      <vt:variant>
        <vt:i4>1835058</vt:i4>
      </vt:variant>
      <vt:variant>
        <vt:i4>248</vt:i4>
      </vt:variant>
      <vt:variant>
        <vt:i4>0</vt:i4>
      </vt:variant>
      <vt:variant>
        <vt:i4>5</vt:i4>
      </vt:variant>
      <vt:variant>
        <vt:lpwstr/>
      </vt:variant>
      <vt:variant>
        <vt:lpwstr>_Toc153278749</vt:lpwstr>
      </vt:variant>
      <vt:variant>
        <vt:i4>1835058</vt:i4>
      </vt:variant>
      <vt:variant>
        <vt:i4>245</vt:i4>
      </vt:variant>
      <vt:variant>
        <vt:i4>0</vt:i4>
      </vt:variant>
      <vt:variant>
        <vt:i4>5</vt:i4>
      </vt:variant>
      <vt:variant>
        <vt:lpwstr/>
      </vt:variant>
      <vt:variant>
        <vt:lpwstr>_Toc153278748</vt:lpwstr>
      </vt:variant>
      <vt:variant>
        <vt:i4>1835058</vt:i4>
      </vt:variant>
      <vt:variant>
        <vt:i4>242</vt:i4>
      </vt:variant>
      <vt:variant>
        <vt:i4>0</vt:i4>
      </vt:variant>
      <vt:variant>
        <vt:i4>5</vt:i4>
      </vt:variant>
      <vt:variant>
        <vt:lpwstr/>
      </vt:variant>
      <vt:variant>
        <vt:lpwstr>_Toc153278747</vt:lpwstr>
      </vt:variant>
      <vt:variant>
        <vt:i4>1835058</vt:i4>
      </vt:variant>
      <vt:variant>
        <vt:i4>239</vt:i4>
      </vt:variant>
      <vt:variant>
        <vt:i4>0</vt:i4>
      </vt:variant>
      <vt:variant>
        <vt:i4>5</vt:i4>
      </vt:variant>
      <vt:variant>
        <vt:lpwstr/>
      </vt:variant>
      <vt:variant>
        <vt:lpwstr>_Toc153278746</vt:lpwstr>
      </vt:variant>
      <vt:variant>
        <vt:i4>1835058</vt:i4>
      </vt:variant>
      <vt:variant>
        <vt:i4>236</vt:i4>
      </vt:variant>
      <vt:variant>
        <vt:i4>0</vt:i4>
      </vt:variant>
      <vt:variant>
        <vt:i4>5</vt:i4>
      </vt:variant>
      <vt:variant>
        <vt:lpwstr/>
      </vt:variant>
      <vt:variant>
        <vt:lpwstr>_Toc153278745</vt:lpwstr>
      </vt:variant>
      <vt:variant>
        <vt:i4>1835058</vt:i4>
      </vt:variant>
      <vt:variant>
        <vt:i4>233</vt:i4>
      </vt:variant>
      <vt:variant>
        <vt:i4>0</vt:i4>
      </vt:variant>
      <vt:variant>
        <vt:i4>5</vt:i4>
      </vt:variant>
      <vt:variant>
        <vt:lpwstr/>
      </vt:variant>
      <vt:variant>
        <vt:lpwstr>_Toc153278744</vt:lpwstr>
      </vt:variant>
      <vt:variant>
        <vt:i4>1835058</vt:i4>
      </vt:variant>
      <vt:variant>
        <vt:i4>230</vt:i4>
      </vt:variant>
      <vt:variant>
        <vt:i4>0</vt:i4>
      </vt:variant>
      <vt:variant>
        <vt:i4>5</vt:i4>
      </vt:variant>
      <vt:variant>
        <vt:lpwstr/>
      </vt:variant>
      <vt:variant>
        <vt:lpwstr>_Toc153278743</vt:lpwstr>
      </vt:variant>
      <vt:variant>
        <vt:i4>1835058</vt:i4>
      </vt:variant>
      <vt:variant>
        <vt:i4>227</vt:i4>
      </vt:variant>
      <vt:variant>
        <vt:i4>0</vt:i4>
      </vt:variant>
      <vt:variant>
        <vt:i4>5</vt:i4>
      </vt:variant>
      <vt:variant>
        <vt:lpwstr/>
      </vt:variant>
      <vt:variant>
        <vt:lpwstr>_Toc153278742</vt:lpwstr>
      </vt:variant>
      <vt:variant>
        <vt:i4>1835058</vt:i4>
      </vt:variant>
      <vt:variant>
        <vt:i4>224</vt:i4>
      </vt:variant>
      <vt:variant>
        <vt:i4>0</vt:i4>
      </vt:variant>
      <vt:variant>
        <vt:i4>5</vt:i4>
      </vt:variant>
      <vt:variant>
        <vt:lpwstr/>
      </vt:variant>
      <vt:variant>
        <vt:lpwstr>_Toc153278741</vt:lpwstr>
      </vt:variant>
      <vt:variant>
        <vt:i4>1835058</vt:i4>
      </vt:variant>
      <vt:variant>
        <vt:i4>221</vt:i4>
      </vt:variant>
      <vt:variant>
        <vt:i4>0</vt:i4>
      </vt:variant>
      <vt:variant>
        <vt:i4>5</vt:i4>
      </vt:variant>
      <vt:variant>
        <vt:lpwstr/>
      </vt:variant>
      <vt:variant>
        <vt:lpwstr>_Toc153278740</vt:lpwstr>
      </vt:variant>
      <vt:variant>
        <vt:i4>1769522</vt:i4>
      </vt:variant>
      <vt:variant>
        <vt:i4>218</vt:i4>
      </vt:variant>
      <vt:variant>
        <vt:i4>0</vt:i4>
      </vt:variant>
      <vt:variant>
        <vt:i4>5</vt:i4>
      </vt:variant>
      <vt:variant>
        <vt:lpwstr/>
      </vt:variant>
      <vt:variant>
        <vt:lpwstr>_Toc153278739</vt:lpwstr>
      </vt:variant>
      <vt:variant>
        <vt:i4>1769522</vt:i4>
      </vt:variant>
      <vt:variant>
        <vt:i4>215</vt:i4>
      </vt:variant>
      <vt:variant>
        <vt:i4>0</vt:i4>
      </vt:variant>
      <vt:variant>
        <vt:i4>5</vt:i4>
      </vt:variant>
      <vt:variant>
        <vt:lpwstr/>
      </vt:variant>
      <vt:variant>
        <vt:lpwstr>_Toc153278738</vt:lpwstr>
      </vt:variant>
      <vt:variant>
        <vt:i4>1769522</vt:i4>
      </vt:variant>
      <vt:variant>
        <vt:i4>212</vt:i4>
      </vt:variant>
      <vt:variant>
        <vt:i4>0</vt:i4>
      </vt:variant>
      <vt:variant>
        <vt:i4>5</vt:i4>
      </vt:variant>
      <vt:variant>
        <vt:lpwstr/>
      </vt:variant>
      <vt:variant>
        <vt:lpwstr>_Toc153278737</vt:lpwstr>
      </vt:variant>
      <vt:variant>
        <vt:i4>1769522</vt:i4>
      </vt:variant>
      <vt:variant>
        <vt:i4>209</vt:i4>
      </vt:variant>
      <vt:variant>
        <vt:i4>0</vt:i4>
      </vt:variant>
      <vt:variant>
        <vt:i4>5</vt:i4>
      </vt:variant>
      <vt:variant>
        <vt:lpwstr/>
      </vt:variant>
      <vt:variant>
        <vt:lpwstr>_Toc153278736</vt:lpwstr>
      </vt:variant>
      <vt:variant>
        <vt:i4>1769522</vt:i4>
      </vt:variant>
      <vt:variant>
        <vt:i4>206</vt:i4>
      </vt:variant>
      <vt:variant>
        <vt:i4>0</vt:i4>
      </vt:variant>
      <vt:variant>
        <vt:i4>5</vt:i4>
      </vt:variant>
      <vt:variant>
        <vt:lpwstr/>
      </vt:variant>
      <vt:variant>
        <vt:lpwstr>_Toc153278735</vt:lpwstr>
      </vt:variant>
      <vt:variant>
        <vt:i4>1769522</vt:i4>
      </vt:variant>
      <vt:variant>
        <vt:i4>203</vt:i4>
      </vt:variant>
      <vt:variant>
        <vt:i4>0</vt:i4>
      </vt:variant>
      <vt:variant>
        <vt:i4>5</vt:i4>
      </vt:variant>
      <vt:variant>
        <vt:lpwstr/>
      </vt:variant>
      <vt:variant>
        <vt:lpwstr>_Toc153278734</vt:lpwstr>
      </vt:variant>
      <vt:variant>
        <vt:i4>1769522</vt:i4>
      </vt:variant>
      <vt:variant>
        <vt:i4>200</vt:i4>
      </vt:variant>
      <vt:variant>
        <vt:i4>0</vt:i4>
      </vt:variant>
      <vt:variant>
        <vt:i4>5</vt:i4>
      </vt:variant>
      <vt:variant>
        <vt:lpwstr/>
      </vt:variant>
      <vt:variant>
        <vt:lpwstr>_Toc153278733</vt:lpwstr>
      </vt:variant>
      <vt:variant>
        <vt:i4>1769522</vt:i4>
      </vt:variant>
      <vt:variant>
        <vt:i4>197</vt:i4>
      </vt:variant>
      <vt:variant>
        <vt:i4>0</vt:i4>
      </vt:variant>
      <vt:variant>
        <vt:i4>5</vt:i4>
      </vt:variant>
      <vt:variant>
        <vt:lpwstr/>
      </vt:variant>
      <vt:variant>
        <vt:lpwstr>_Toc153278732</vt:lpwstr>
      </vt:variant>
      <vt:variant>
        <vt:i4>1769522</vt:i4>
      </vt:variant>
      <vt:variant>
        <vt:i4>194</vt:i4>
      </vt:variant>
      <vt:variant>
        <vt:i4>0</vt:i4>
      </vt:variant>
      <vt:variant>
        <vt:i4>5</vt:i4>
      </vt:variant>
      <vt:variant>
        <vt:lpwstr/>
      </vt:variant>
      <vt:variant>
        <vt:lpwstr>_Toc153278731</vt:lpwstr>
      </vt:variant>
      <vt:variant>
        <vt:i4>1769522</vt:i4>
      </vt:variant>
      <vt:variant>
        <vt:i4>191</vt:i4>
      </vt:variant>
      <vt:variant>
        <vt:i4>0</vt:i4>
      </vt:variant>
      <vt:variant>
        <vt:i4>5</vt:i4>
      </vt:variant>
      <vt:variant>
        <vt:lpwstr/>
      </vt:variant>
      <vt:variant>
        <vt:lpwstr>_Toc153278730</vt:lpwstr>
      </vt:variant>
      <vt:variant>
        <vt:i4>1703986</vt:i4>
      </vt:variant>
      <vt:variant>
        <vt:i4>188</vt:i4>
      </vt:variant>
      <vt:variant>
        <vt:i4>0</vt:i4>
      </vt:variant>
      <vt:variant>
        <vt:i4>5</vt:i4>
      </vt:variant>
      <vt:variant>
        <vt:lpwstr/>
      </vt:variant>
      <vt:variant>
        <vt:lpwstr>_Toc153278729</vt:lpwstr>
      </vt:variant>
      <vt:variant>
        <vt:i4>1703986</vt:i4>
      </vt:variant>
      <vt:variant>
        <vt:i4>185</vt:i4>
      </vt:variant>
      <vt:variant>
        <vt:i4>0</vt:i4>
      </vt:variant>
      <vt:variant>
        <vt:i4>5</vt:i4>
      </vt:variant>
      <vt:variant>
        <vt:lpwstr/>
      </vt:variant>
      <vt:variant>
        <vt:lpwstr>_Toc153278728</vt:lpwstr>
      </vt:variant>
      <vt:variant>
        <vt:i4>1703986</vt:i4>
      </vt:variant>
      <vt:variant>
        <vt:i4>182</vt:i4>
      </vt:variant>
      <vt:variant>
        <vt:i4>0</vt:i4>
      </vt:variant>
      <vt:variant>
        <vt:i4>5</vt:i4>
      </vt:variant>
      <vt:variant>
        <vt:lpwstr/>
      </vt:variant>
      <vt:variant>
        <vt:lpwstr>_Toc153278727</vt:lpwstr>
      </vt:variant>
      <vt:variant>
        <vt:i4>1703986</vt:i4>
      </vt:variant>
      <vt:variant>
        <vt:i4>179</vt:i4>
      </vt:variant>
      <vt:variant>
        <vt:i4>0</vt:i4>
      </vt:variant>
      <vt:variant>
        <vt:i4>5</vt:i4>
      </vt:variant>
      <vt:variant>
        <vt:lpwstr/>
      </vt:variant>
      <vt:variant>
        <vt:lpwstr>_Toc153278726</vt:lpwstr>
      </vt:variant>
      <vt:variant>
        <vt:i4>1703986</vt:i4>
      </vt:variant>
      <vt:variant>
        <vt:i4>176</vt:i4>
      </vt:variant>
      <vt:variant>
        <vt:i4>0</vt:i4>
      </vt:variant>
      <vt:variant>
        <vt:i4>5</vt:i4>
      </vt:variant>
      <vt:variant>
        <vt:lpwstr/>
      </vt:variant>
      <vt:variant>
        <vt:lpwstr>_Toc153278725</vt:lpwstr>
      </vt:variant>
      <vt:variant>
        <vt:i4>1703986</vt:i4>
      </vt:variant>
      <vt:variant>
        <vt:i4>173</vt:i4>
      </vt:variant>
      <vt:variant>
        <vt:i4>0</vt:i4>
      </vt:variant>
      <vt:variant>
        <vt:i4>5</vt:i4>
      </vt:variant>
      <vt:variant>
        <vt:lpwstr/>
      </vt:variant>
      <vt:variant>
        <vt:lpwstr>_Toc153278724</vt:lpwstr>
      </vt:variant>
      <vt:variant>
        <vt:i4>1703986</vt:i4>
      </vt:variant>
      <vt:variant>
        <vt:i4>170</vt:i4>
      </vt:variant>
      <vt:variant>
        <vt:i4>0</vt:i4>
      </vt:variant>
      <vt:variant>
        <vt:i4>5</vt:i4>
      </vt:variant>
      <vt:variant>
        <vt:lpwstr/>
      </vt:variant>
      <vt:variant>
        <vt:lpwstr>_Toc153278723</vt:lpwstr>
      </vt:variant>
      <vt:variant>
        <vt:i4>1703986</vt:i4>
      </vt:variant>
      <vt:variant>
        <vt:i4>167</vt:i4>
      </vt:variant>
      <vt:variant>
        <vt:i4>0</vt:i4>
      </vt:variant>
      <vt:variant>
        <vt:i4>5</vt:i4>
      </vt:variant>
      <vt:variant>
        <vt:lpwstr/>
      </vt:variant>
      <vt:variant>
        <vt:lpwstr>_Toc153278722</vt:lpwstr>
      </vt:variant>
      <vt:variant>
        <vt:i4>1703986</vt:i4>
      </vt:variant>
      <vt:variant>
        <vt:i4>164</vt:i4>
      </vt:variant>
      <vt:variant>
        <vt:i4>0</vt:i4>
      </vt:variant>
      <vt:variant>
        <vt:i4>5</vt:i4>
      </vt:variant>
      <vt:variant>
        <vt:lpwstr/>
      </vt:variant>
      <vt:variant>
        <vt:lpwstr>_Toc153278721</vt:lpwstr>
      </vt:variant>
      <vt:variant>
        <vt:i4>1703986</vt:i4>
      </vt:variant>
      <vt:variant>
        <vt:i4>161</vt:i4>
      </vt:variant>
      <vt:variant>
        <vt:i4>0</vt:i4>
      </vt:variant>
      <vt:variant>
        <vt:i4>5</vt:i4>
      </vt:variant>
      <vt:variant>
        <vt:lpwstr/>
      </vt:variant>
      <vt:variant>
        <vt:lpwstr>_Toc153278720</vt:lpwstr>
      </vt:variant>
      <vt:variant>
        <vt:i4>1638450</vt:i4>
      </vt:variant>
      <vt:variant>
        <vt:i4>158</vt:i4>
      </vt:variant>
      <vt:variant>
        <vt:i4>0</vt:i4>
      </vt:variant>
      <vt:variant>
        <vt:i4>5</vt:i4>
      </vt:variant>
      <vt:variant>
        <vt:lpwstr/>
      </vt:variant>
      <vt:variant>
        <vt:lpwstr>_Toc153278719</vt:lpwstr>
      </vt:variant>
      <vt:variant>
        <vt:i4>1638450</vt:i4>
      </vt:variant>
      <vt:variant>
        <vt:i4>155</vt:i4>
      </vt:variant>
      <vt:variant>
        <vt:i4>0</vt:i4>
      </vt:variant>
      <vt:variant>
        <vt:i4>5</vt:i4>
      </vt:variant>
      <vt:variant>
        <vt:lpwstr/>
      </vt:variant>
      <vt:variant>
        <vt:lpwstr>_Toc153278718</vt:lpwstr>
      </vt:variant>
      <vt:variant>
        <vt:i4>1638450</vt:i4>
      </vt:variant>
      <vt:variant>
        <vt:i4>152</vt:i4>
      </vt:variant>
      <vt:variant>
        <vt:i4>0</vt:i4>
      </vt:variant>
      <vt:variant>
        <vt:i4>5</vt:i4>
      </vt:variant>
      <vt:variant>
        <vt:lpwstr/>
      </vt:variant>
      <vt:variant>
        <vt:lpwstr>_Toc153278717</vt:lpwstr>
      </vt:variant>
      <vt:variant>
        <vt:i4>1638450</vt:i4>
      </vt:variant>
      <vt:variant>
        <vt:i4>149</vt:i4>
      </vt:variant>
      <vt:variant>
        <vt:i4>0</vt:i4>
      </vt:variant>
      <vt:variant>
        <vt:i4>5</vt:i4>
      </vt:variant>
      <vt:variant>
        <vt:lpwstr/>
      </vt:variant>
      <vt:variant>
        <vt:lpwstr>_Toc153278716</vt:lpwstr>
      </vt:variant>
      <vt:variant>
        <vt:i4>1638450</vt:i4>
      </vt:variant>
      <vt:variant>
        <vt:i4>146</vt:i4>
      </vt:variant>
      <vt:variant>
        <vt:i4>0</vt:i4>
      </vt:variant>
      <vt:variant>
        <vt:i4>5</vt:i4>
      </vt:variant>
      <vt:variant>
        <vt:lpwstr/>
      </vt:variant>
      <vt:variant>
        <vt:lpwstr>_Toc153278715</vt:lpwstr>
      </vt:variant>
      <vt:variant>
        <vt:i4>1638450</vt:i4>
      </vt:variant>
      <vt:variant>
        <vt:i4>143</vt:i4>
      </vt:variant>
      <vt:variant>
        <vt:i4>0</vt:i4>
      </vt:variant>
      <vt:variant>
        <vt:i4>5</vt:i4>
      </vt:variant>
      <vt:variant>
        <vt:lpwstr/>
      </vt:variant>
      <vt:variant>
        <vt:lpwstr>_Toc153278714</vt:lpwstr>
      </vt:variant>
      <vt:variant>
        <vt:i4>1638450</vt:i4>
      </vt:variant>
      <vt:variant>
        <vt:i4>140</vt:i4>
      </vt:variant>
      <vt:variant>
        <vt:i4>0</vt:i4>
      </vt:variant>
      <vt:variant>
        <vt:i4>5</vt:i4>
      </vt:variant>
      <vt:variant>
        <vt:lpwstr/>
      </vt:variant>
      <vt:variant>
        <vt:lpwstr>_Toc153278713</vt:lpwstr>
      </vt:variant>
      <vt:variant>
        <vt:i4>1638450</vt:i4>
      </vt:variant>
      <vt:variant>
        <vt:i4>137</vt:i4>
      </vt:variant>
      <vt:variant>
        <vt:i4>0</vt:i4>
      </vt:variant>
      <vt:variant>
        <vt:i4>5</vt:i4>
      </vt:variant>
      <vt:variant>
        <vt:lpwstr/>
      </vt:variant>
      <vt:variant>
        <vt:lpwstr>_Toc153278712</vt:lpwstr>
      </vt:variant>
      <vt:variant>
        <vt:i4>1638450</vt:i4>
      </vt:variant>
      <vt:variant>
        <vt:i4>134</vt:i4>
      </vt:variant>
      <vt:variant>
        <vt:i4>0</vt:i4>
      </vt:variant>
      <vt:variant>
        <vt:i4>5</vt:i4>
      </vt:variant>
      <vt:variant>
        <vt:lpwstr/>
      </vt:variant>
      <vt:variant>
        <vt:lpwstr>_Toc153278711</vt:lpwstr>
      </vt:variant>
      <vt:variant>
        <vt:i4>1638450</vt:i4>
      </vt:variant>
      <vt:variant>
        <vt:i4>131</vt:i4>
      </vt:variant>
      <vt:variant>
        <vt:i4>0</vt:i4>
      </vt:variant>
      <vt:variant>
        <vt:i4>5</vt:i4>
      </vt:variant>
      <vt:variant>
        <vt:lpwstr/>
      </vt:variant>
      <vt:variant>
        <vt:lpwstr>_Toc153278710</vt:lpwstr>
      </vt:variant>
      <vt:variant>
        <vt:i4>1572914</vt:i4>
      </vt:variant>
      <vt:variant>
        <vt:i4>128</vt:i4>
      </vt:variant>
      <vt:variant>
        <vt:i4>0</vt:i4>
      </vt:variant>
      <vt:variant>
        <vt:i4>5</vt:i4>
      </vt:variant>
      <vt:variant>
        <vt:lpwstr/>
      </vt:variant>
      <vt:variant>
        <vt:lpwstr>_Toc153278709</vt:lpwstr>
      </vt:variant>
      <vt:variant>
        <vt:i4>1572914</vt:i4>
      </vt:variant>
      <vt:variant>
        <vt:i4>125</vt:i4>
      </vt:variant>
      <vt:variant>
        <vt:i4>0</vt:i4>
      </vt:variant>
      <vt:variant>
        <vt:i4>5</vt:i4>
      </vt:variant>
      <vt:variant>
        <vt:lpwstr/>
      </vt:variant>
      <vt:variant>
        <vt:lpwstr>_Toc153278708</vt:lpwstr>
      </vt:variant>
      <vt:variant>
        <vt:i4>1572914</vt:i4>
      </vt:variant>
      <vt:variant>
        <vt:i4>122</vt:i4>
      </vt:variant>
      <vt:variant>
        <vt:i4>0</vt:i4>
      </vt:variant>
      <vt:variant>
        <vt:i4>5</vt:i4>
      </vt:variant>
      <vt:variant>
        <vt:lpwstr/>
      </vt:variant>
      <vt:variant>
        <vt:lpwstr>_Toc153278707</vt:lpwstr>
      </vt:variant>
      <vt:variant>
        <vt:i4>1572914</vt:i4>
      </vt:variant>
      <vt:variant>
        <vt:i4>119</vt:i4>
      </vt:variant>
      <vt:variant>
        <vt:i4>0</vt:i4>
      </vt:variant>
      <vt:variant>
        <vt:i4>5</vt:i4>
      </vt:variant>
      <vt:variant>
        <vt:lpwstr/>
      </vt:variant>
      <vt:variant>
        <vt:lpwstr>_Toc153278706</vt:lpwstr>
      </vt:variant>
      <vt:variant>
        <vt:i4>1572914</vt:i4>
      </vt:variant>
      <vt:variant>
        <vt:i4>116</vt:i4>
      </vt:variant>
      <vt:variant>
        <vt:i4>0</vt:i4>
      </vt:variant>
      <vt:variant>
        <vt:i4>5</vt:i4>
      </vt:variant>
      <vt:variant>
        <vt:lpwstr/>
      </vt:variant>
      <vt:variant>
        <vt:lpwstr>_Toc153278705</vt:lpwstr>
      </vt:variant>
      <vt:variant>
        <vt:i4>1572914</vt:i4>
      </vt:variant>
      <vt:variant>
        <vt:i4>113</vt:i4>
      </vt:variant>
      <vt:variant>
        <vt:i4>0</vt:i4>
      </vt:variant>
      <vt:variant>
        <vt:i4>5</vt:i4>
      </vt:variant>
      <vt:variant>
        <vt:lpwstr/>
      </vt:variant>
      <vt:variant>
        <vt:lpwstr>_Toc153278704</vt:lpwstr>
      </vt:variant>
      <vt:variant>
        <vt:i4>1572914</vt:i4>
      </vt:variant>
      <vt:variant>
        <vt:i4>110</vt:i4>
      </vt:variant>
      <vt:variant>
        <vt:i4>0</vt:i4>
      </vt:variant>
      <vt:variant>
        <vt:i4>5</vt:i4>
      </vt:variant>
      <vt:variant>
        <vt:lpwstr/>
      </vt:variant>
      <vt:variant>
        <vt:lpwstr>_Toc153278703</vt:lpwstr>
      </vt:variant>
      <vt:variant>
        <vt:i4>1572914</vt:i4>
      </vt:variant>
      <vt:variant>
        <vt:i4>107</vt:i4>
      </vt:variant>
      <vt:variant>
        <vt:i4>0</vt:i4>
      </vt:variant>
      <vt:variant>
        <vt:i4>5</vt:i4>
      </vt:variant>
      <vt:variant>
        <vt:lpwstr/>
      </vt:variant>
      <vt:variant>
        <vt:lpwstr>_Toc153278702</vt:lpwstr>
      </vt:variant>
      <vt:variant>
        <vt:i4>1572914</vt:i4>
      </vt:variant>
      <vt:variant>
        <vt:i4>104</vt:i4>
      </vt:variant>
      <vt:variant>
        <vt:i4>0</vt:i4>
      </vt:variant>
      <vt:variant>
        <vt:i4>5</vt:i4>
      </vt:variant>
      <vt:variant>
        <vt:lpwstr/>
      </vt:variant>
      <vt:variant>
        <vt:lpwstr>_Toc153278701</vt:lpwstr>
      </vt:variant>
      <vt:variant>
        <vt:i4>1572914</vt:i4>
      </vt:variant>
      <vt:variant>
        <vt:i4>101</vt:i4>
      </vt:variant>
      <vt:variant>
        <vt:i4>0</vt:i4>
      </vt:variant>
      <vt:variant>
        <vt:i4>5</vt:i4>
      </vt:variant>
      <vt:variant>
        <vt:lpwstr/>
      </vt:variant>
      <vt:variant>
        <vt:lpwstr>_Toc153278700</vt:lpwstr>
      </vt:variant>
      <vt:variant>
        <vt:i4>1114163</vt:i4>
      </vt:variant>
      <vt:variant>
        <vt:i4>98</vt:i4>
      </vt:variant>
      <vt:variant>
        <vt:i4>0</vt:i4>
      </vt:variant>
      <vt:variant>
        <vt:i4>5</vt:i4>
      </vt:variant>
      <vt:variant>
        <vt:lpwstr/>
      </vt:variant>
      <vt:variant>
        <vt:lpwstr>_Toc153278699</vt:lpwstr>
      </vt:variant>
      <vt:variant>
        <vt:i4>1114163</vt:i4>
      </vt:variant>
      <vt:variant>
        <vt:i4>95</vt:i4>
      </vt:variant>
      <vt:variant>
        <vt:i4>0</vt:i4>
      </vt:variant>
      <vt:variant>
        <vt:i4>5</vt:i4>
      </vt:variant>
      <vt:variant>
        <vt:lpwstr/>
      </vt:variant>
      <vt:variant>
        <vt:lpwstr>_Toc153278698</vt:lpwstr>
      </vt:variant>
      <vt:variant>
        <vt:i4>1114163</vt:i4>
      </vt:variant>
      <vt:variant>
        <vt:i4>92</vt:i4>
      </vt:variant>
      <vt:variant>
        <vt:i4>0</vt:i4>
      </vt:variant>
      <vt:variant>
        <vt:i4>5</vt:i4>
      </vt:variant>
      <vt:variant>
        <vt:lpwstr/>
      </vt:variant>
      <vt:variant>
        <vt:lpwstr>_Toc153278697</vt:lpwstr>
      </vt:variant>
      <vt:variant>
        <vt:i4>1114163</vt:i4>
      </vt:variant>
      <vt:variant>
        <vt:i4>89</vt:i4>
      </vt:variant>
      <vt:variant>
        <vt:i4>0</vt:i4>
      </vt:variant>
      <vt:variant>
        <vt:i4>5</vt:i4>
      </vt:variant>
      <vt:variant>
        <vt:lpwstr/>
      </vt:variant>
      <vt:variant>
        <vt:lpwstr>_Toc153278696</vt:lpwstr>
      </vt:variant>
      <vt:variant>
        <vt:i4>1114163</vt:i4>
      </vt:variant>
      <vt:variant>
        <vt:i4>86</vt:i4>
      </vt:variant>
      <vt:variant>
        <vt:i4>0</vt:i4>
      </vt:variant>
      <vt:variant>
        <vt:i4>5</vt:i4>
      </vt:variant>
      <vt:variant>
        <vt:lpwstr/>
      </vt:variant>
      <vt:variant>
        <vt:lpwstr>_Toc153278695</vt:lpwstr>
      </vt:variant>
      <vt:variant>
        <vt:i4>1114163</vt:i4>
      </vt:variant>
      <vt:variant>
        <vt:i4>83</vt:i4>
      </vt:variant>
      <vt:variant>
        <vt:i4>0</vt:i4>
      </vt:variant>
      <vt:variant>
        <vt:i4>5</vt:i4>
      </vt:variant>
      <vt:variant>
        <vt:lpwstr/>
      </vt:variant>
      <vt:variant>
        <vt:lpwstr>_Toc153278694</vt:lpwstr>
      </vt:variant>
      <vt:variant>
        <vt:i4>1114163</vt:i4>
      </vt:variant>
      <vt:variant>
        <vt:i4>80</vt:i4>
      </vt:variant>
      <vt:variant>
        <vt:i4>0</vt:i4>
      </vt:variant>
      <vt:variant>
        <vt:i4>5</vt:i4>
      </vt:variant>
      <vt:variant>
        <vt:lpwstr/>
      </vt:variant>
      <vt:variant>
        <vt:lpwstr>_Toc153278693</vt:lpwstr>
      </vt:variant>
      <vt:variant>
        <vt:i4>1114163</vt:i4>
      </vt:variant>
      <vt:variant>
        <vt:i4>77</vt:i4>
      </vt:variant>
      <vt:variant>
        <vt:i4>0</vt:i4>
      </vt:variant>
      <vt:variant>
        <vt:i4>5</vt:i4>
      </vt:variant>
      <vt:variant>
        <vt:lpwstr/>
      </vt:variant>
      <vt:variant>
        <vt:lpwstr>_Toc153278692</vt:lpwstr>
      </vt:variant>
      <vt:variant>
        <vt:i4>1114163</vt:i4>
      </vt:variant>
      <vt:variant>
        <vt:i4>74</vt:i4>
      </vt:variant>
      <vt:variant>
        <vt:i4>0</vt:i4>
      </vt:variant>
      <vt:variant>
        <vt:i4>5</vt:i4>
      </vt:variant>
      <vt:variant>
        <vt:lpwstr/>
      </vt:variant>
      <vt:variant>
        <vt:lpwstr>_Toc153278691</vt:lpwstr>
      </vt:variant>
      <vt:variant>
        <vt:i4>1114163</vt:i4>
      </vt:variant>
      <vt:variant>
        <vt:i4>71</vt:i4>
      </vt:variant>
      <vt:variant>
        <vt:i4>0</vt:i4>
      </vt:variant>
      <vt:variant>
        <vt:i4>5</vt:i4>
      </vt:variant>
      <vt:variant>
        <vt:lpwstr/>
      </vt:variant>
      <vt:variant>
        <vt:lpwstr>_Toc153278690</vt:lpwstr>
      </vt:variant>
      <vt:variant>
        <vt:i4>1048627</vt:i4>
      </vt:variant>
      <vt:variant>
        <vt:i4>68</vt:i4>
      </vt:variant>
      <vt:variant>
        <vt:i4>0</vt:i4>
      </vt:variant>
      <vt:variant>
        <vt:i4>5</vt:i4>
      </vt:variant>
      <vt:variant>
        <vt:lpwstr/>
      </vt:variant>
      <vt:variant>
        <vt:lpwstr>_Toc153278689</vt:lpwstr>
      </vt:variant>
      <vt:variant>
        <vt:i4>1048627</vt:i4>
      </vt:variant>
      <vt:variant>
        <vt:i4>65</vt:i4>
      </vt:variant>
      <vt:variant>
        <vt:i4>0</vt:i4>
      </vt:variant>
      <vt:variant>
        <vt:i4>5</vt:i4>
      </vt:variant>
      <vt:variant>
        <vt:lpwstr/>
      </vt:variant>
      <vt:variant>
        <vt:lpwstr>_Toc153278688</vt:lpwstr>
      </vt:variant>
      <vt:variant>
        <vt:i4>1048627</vt:i4>
      </vt:variant>
      <vt:variant>
        <vt:i4>62</vt:i4>
      </vt:variant>
      <vt:variant>
        <vt:i4>0</vt:i4>
      </vt:variant>
      <vt:variant>
        <vt:i4>5</vt:i4>
      </vt:variant>
      <vt:variant>
        <vt:lpwstr/>
      </vt:variant>
      <vt:variant>
        <vt:lpwstr>_Toc153278687</vt:lpwstr>
      </vt:variant>
      <vt:variant>
        <vt:i4>1048627</vt:i4>
      </vt:variant>
      <vt:variant>
        <vt:i4>59</vt:i4>
      </vt:variant>
      <vt:variant>
        <vt:i4>0</vt:i4>
      </vt:variant>
      <vt:variant>
        <vt:i4>5</vt:i4>
      </vt:variant>
      <vt:variant>
        <vt:lpwstr/>
      </vt:variant>
      <vt:variant>
        <vt:lpwstr>_Toc153278686</vt:lpwstr>
      </vt:variant>
      <vt:variant>
        <vt:i4>1048627</vt:i4>
      </vt:variant>
      <vt:variant>
        <vt:i4>56</vt:i4>
      </vt:variant>
      <vt:variant>
        <vt:i4>0</vt:i4>
      </vt:variant>
      <vt:variant>
        <vt:i4>5</vt:i4>
      </vt:variant>
      <vt:variant>
        <vt:lpwstr/>
      </vt:variant>
      <vt:variant>
        <vt:lpwstr>_Toc153278685</vt:lpwstr>
      </vt:variant>
      <vt:variant>
        <vt:i4>1048627</vt:i4>
      </vt:variant>
      <vt:variant>
        <vt:i4>53</vt:i4>
      </vt:variant>
      <vt:variant>
        <vt:i4>0</vt:i4>
      </vt:variant>
      <vt:variant>
        <vt:i4>5</vt:i4>
      </vt:variant>
      <vt:variant>
        <vt:lpwstr/>
      </vt:variant>
      <vt:variant>
        <vt:lpwstr>_Toc153278684</vt:lpwstr>
      </vt:variant>
      <vt:variant>
        <vt:i4>1048627</vt:i4>
      </vt:variant>
      <vt:variant>
        <vt:i4>50</vt:i4>
      </vt:variant>
      <vt:variant>
        <vt:i4>0</vt:i4>
      </vt:variant>
      <vt:variant>
        <vt:i4>5</vt:i4>
      </vt:variant>
      <vt:variant>
        <vt:lpwstr/>
      </vt:variant>
      <vt:variant>
        <vt:lpwstr>_Toc153278683</vt:lpwstr>
      </vt:variant>
      <vt:variant>
        <vt:i4>1048627</vt:i4>
      </vt:variant>
      <vt:variant>
        <vt:i4>47</vt:i4>
      </vt:variant>
      <vt:variant>
        <vt:i4>0</vt:i4>
      </vt:variant>
      <vt:variant>
        <vt:i4>5</vt:i4>
      </vt:variant>
      <vt:variant>
        <vt:lpwstr/>
      </vt:variant>
      <vt:variant>
        <vt:lpwstr>_Toc153278682</vt:lpwstr>
      </vt:variant>
      <vt:variant>
        <vt:i4>1048627</vt:i4>
      </vt:variant>
      <vt:variant>
        <vt:i4>44</vt:i4>
      </vt:variant>
      <vt:variant>
        <vt:i4>0</vt:i4>
      </vt:variant>
      <vt:variant>
        <vt:i4>5</vt:i4>
      </vt:variant>
      <vt:variant>
        <vt:lpwstr/>
      </vt:variant>
      <vt:variant>
        <vt:lpwstr>_Toc153278681</vt:lpwstr>
      </vt:variant>
      <vt:variant>
        <vt:i4>1048627</vt:i4>
      </vt:variant>
      <vt:variant>
        <vt:i4>41</vt:i4>
      </vt:variant>
      <vt:variant>
        <vt:i4>0</vt:i4>
      </vt:variant>
      <vt:variant>
        <vt:i4>5</vt:i4>
      </vt:variant>
      <vt:variant>
        <vt:lpwstr/>
      </vt:variant>
      <vt:variant>
        <vt:lpwstr>_Toc153278680</vt:lpwstr>
      </vt:variant>
      <vt:variant>
        <vt:i4>2031667</vt:i4>
      </vt:variant>
      <vt:variant>
        <vt:i4>38</vt:i4>
      </vt:variant>
      <vt:variant>
        <vt:i4>0</vt:i4>
      </vt:variant>
      <vt:variant>
        <vt:i4>5</vt:i4>
      </vt:variant>
      <vt:variant>
        <vt:lpwstr/>
      </vt:variant>
      <vt:variant>
        <vt:lpwstr>_Toc153278679</vt:lpwstr>
      </vt:variant>
      <vt:variant>
        <vt:i4>2031667</vt:i4>
      </vt:variant>
      <vt:variant>
        <vt:i4>35</vt:i4>
      </vt:variant>
      <vt:variant>
        <vt:i4>0</vt:i4>
      </vt:variant>
      <vt:variant>
        <vt:i4>5</vt:i4>
      </vt:variant>
      <vt:variant>
        <vt:lpwstr/>
      </vt:variant>
      <vt:variant>
        <vt:lpwstr>_Toc153278678</vt:lpwstr>
      </vt:variant>
      <vt:variant>
        <vt:i4>2031667</vt:i4>
      </vt:variant>
      <vt:variant>
        <vt:i4>32</vt:i4>
      </vt:variant>
      <vt:variant>
        <vt:i4>0</vt:i4>
      </vt:variant>
      <vt:variant>
        <vt:i4>5</vt:i4>
      </vt:variant>
      <vt:variant>
        <vt:lpwstr/>
      </vt:variant>
      <vt:variant>
        <vt:lpwstr>_Toc153278677</vt:lpwstr>
      </vt:variant>
      <vt:variant>
        <vt:i4>2031667</vt:i4>
      </vt:variant>
      <vt:variant>
        <vt:i4>29</vt:i4>
      </vt:variant>
      <vt:variant>
        <vt:i4>0</vt:i4>
      </vt:variant>
      <vt:variant>
        <vt:i4>5</vt:i4>
      </vt:variant>
      <vt:variant>
        <vt:lpwstr/>
      </vt:variant>
      <vt:variant>
        <vt:lpwstr>_Toc153278676</vt:lpwstr>
      </vt:variant>
      <vt:variant>
        <vt:i4>2031667</vt:i4>
      </vt:variant>
      <vt:variant>
        <vt:i4>26</vt:i4>
      </vt:variant>
      <vt:variant>
        <vt:i4>0</vt:i4>
      </vt:variant>
      <vt:variant>
        <vt:i4>5</vt:i4>
      </vt:variant>
      <vt:variant>
        <vt:lpwstr/>
      </vt:variant>
      <vt:variant>
        <vt:lpwstr>_Toc153278675</vt:lpwstr>
      </vt:variant>
      <vt:variant>
        <vt:i4>2031667</vt:i4>
      </vt:variant>
      <vt:variant>
        <vt:i4>23</vt:i4>
      </vt:variant>
      <vt:variant>
        <vt:i4>0</vt:i4>
      </vt:variant>
      <vt:variant>
        <vt:i4>5</vt:i4>
      </vt:variant>
      <vt:variant>
        <vt:lpwstr/>
      </vt:variant>
      <vt:variant>
        <vt:lpwstr>_Toc153278674</vt:lpwstr>
      </vt:variant>
      <vt:variant>
        <vt:i4>2031667</vt:i4>
      </vt:variant>
      <vt:variant>
        <vt:i4>20</vt:i4>
      </vt:variant>
      <vt:variant>
        <vt:i4>0</vt:i4>
      </vt:variant>
      <vt:variant>
        <vt:i4>5</vt:i4>
      </vt:variant>
      <vt:variant>
        <vt:lpwstr/>
      </vt:variant>
      <vt:variant>
        <vt:lpwstr>_Toc153278673</vt:lpwstr>
      </vt:variant>
      <vt:variant>
        <vt:i4>2031667</vt:i4>
      </vt:variant>
      <vt:variant>
        <vt:i4>17</vt:i4>
      </vt:variant>
      <vt:variant>
        <vt:i4>0</vt:i4>
      </vt:variant>
      <vt:variant>
        <vt:i4>5</vt:i4>
      </vt:variant>
      <vt:variant>
        <vt:lpwstr/>
      </vt:variant>
      <vt:variant>
        <vt:lpwstr>_Toc153278672</vt:lpwstr>
      </vt:variant>
      <vt:variant>
        <vt:i4>2031667</vt:i4>
      </vt:variant>
      <vt:variant>
        <vt:i4>14</vt:i4>
      </vt:variant>
      <vt:variant>
        <vt:i4>0</vt:i4>
      </vt:variant>
      <vt:variant>
        <vt:i4>5</vt:i4>
      </vt:variant>
      <vt:variant>
        <vt:lpwstr/>
      </vt:variant>
      <vt:variant>
        <vt:lpwstr>_Toc153278671</vt:lpwstr>
      </vt:variant>
      <vt:variant>
        <vt:i4>2031667</vt:i4>
      </vt:variant>
      <vt:variant>
        <vt:i4>11</vt:i4>
      </vt:variant>
      <vt:variant>
        <vt:i4>0</vt:i4>
      </vt:variant>
      <vt:variant>
        <vt:i4>5</vt:i4>
      </vt:variant>
      <vt:variant>
        <vt:lpwstr/>
      </vt:variant>
      <vt:variant>
        <vt:lpwstr>_Toc153278670</vt:lpwstr>
      </vt:variant>
      <vt:variant>
        <vt:i4>1966131</vt:i4>
      </vt:variant>
      <vt:variant>
        <vt:i4>8</vt:i4>
      </vt:variant>
      <vt:variant>
        <vt:i4>0</vt:i4>
      </vt:variant>
      <vt:variant>
        <vt:i4>5</vt:i4>
      </vt:variant>
      <vt:variant>
        <vt:lpwstr/>
      </vt:variant>
      <vt:variant>
        <vt:lpwstr>_Toc153278669</vt:lpwstr>
      </vt:variant>
      <vt:variant>
        <vt:i4>1966131</vt:i4>
      </vt:variant>
      <vt:variant>
        <vt:i4>5</vt:i4>
      </vt:variant>
      <vt:variant>
        <vt:i4>0</vt:i4>
      </vt:variant>
      <vt:variant>
        <vt:i4>5</vt:i4>
      </vt:variant>
      <vt:variant>
        <vt:lpwstr/>
      </vt:variant>
      <vt:variant>
        <vt:lpwstr>_Toc153278668</vt:lpwstr>
      </vt:variant>
      <vt:variant>
        <vt:i4>1966131</vt:i4>
      </vt:variant>
      <vt:variant>
        <vt:i4>2</vt:i4>
      </vt:variant>
      <vt:variant>
        <vt:i4>0</vt:i4>
      </vt:variant>
      <vt:variant>
        <vt:i4>5</vt:i4>
      </vt:variant>
      <vt:variant>
        <vt:lpwstr/>
      </vt:variant>
      <vt:variant>
        <vt:lpwstr>_Toc153278667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Federally Qualified Health Center Section II</dc:title>
  <dc:subject/>
  <dc:creator/>
  <cp:keywords/>
  <cp:lastModifiedBy/>
  <cp:revision>1</cp:revision>
  <dcterms:created xsi:type="dcterms:W3CDTF">2025-05-26T17:35:00Z</dcterms:created>
  <dcterms:modified xsi:type="dcterms:W3CDTF">2025-06-30T12:56:00Z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