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B370B8" w:rsidRPr="009D7A51" w14:paraId="178AC73B" w14:textId="77777777" w:rsidTr="0017242B">
        <w:tblPrEx>
          <w:tblCellMar>
            <w:top w:w="0" w:type="dxa"/>
            <w:bottom w:w="0" w:type="dxa"/>
          </w:tblCellMar>
        </w:tblPrEx>
        <w:trPr>
          <w:cantSplit/>
        </w:trPr>
        <w:tc>
          <w:tcPr>
            <w:tcW w:w="8122" w:type="dxa"/>
            <w:shd w:val="clear" w:color="auto" w:fill="1D73D6"/>
          </w:tcPr>
          <w:p w14:paraId="6E5E8C52" w14:textId="77777777" w:rsidR="00B370B8" w:rsidRPr="009D7A51" w:rsidRDefault="00B370B8" w:rsidP="00517A2C">
            <w:pPr>
              <w:pStyle w:val="cTOCHead"/>
            </w:pPr>
            <w:bookmarkStart w:id="0" w:name="_Hlk77933443"/>
            <w:r w:rsidRPr="009D7A51">
              <w:t>section II - Visual care</w:t>
            </w:r>
          </w:p>
          <w:p w14:paraId="3C3A1582" w14:textId="77777777" w:rsidR="00B370B8" w:rsidRPr="009D7A51" w:rsidRDefault="00B370B8" w:rsidP="00517A2C">
            <w:pPr>
              <w:pStyle w:val="cTOCHead"/>
            </w:pPr>
            <w:r w:rsidRPr="009D7A51">
              <w:t>Contents</w:t>
            </w:r>
          </w:p>
        </w:tc>
        <w:tc>
          <w:tcPr>
            <w:tcW w:w="1238" w:type="dxa"/>
            <w:shd w:val="clear" w:color="auto" w:fill="1D73D6"/>
            <w:vAlign w:val="center"/>
          </w:tcPr>
          <w:p w14:paraId="1B57EF79" w14:textId="77777777" w:rsidR="00B370B8" w:rsidRPr="009D7A51" w:rsidRDefault="00B370B8" w:rsidP="00517A2C">
            <w:pPr>
              <w:pStyle w:val="cDate1"/>
            </w:pPr>
          </w:p>
        </w:tc>
      </w:tr>
    </w:tbl>
    <w:bookmarkStart w:id="1" w:name="_Hlk106276632"/>
    <w:bookmarkStart w:id="2" w:name="_Hlk199331916"/>
    <w:p w14:paraId="4857F89C" w14:textId="77777777" w:rsidR="00243977" w:rsidRDefault="0085484F">
      <w:pPr>
        <w:pStyle w:val="TOC1"/>
        <w:rPr>
          <w:rFonts w:asciiTheme="minorHAnsi" w:eastAsiaTheme="minorEastAsia" w:hAnsiTheme="minorHAnsi" w:cstheme="minorBidi"/>
          <w:b w:val="0"/>
          <w:caps w:val="0"/>
          <w:color w:val="auto"/>
          <w:kern w:val="2"/>
          <w:sz w:val="24"/>
          <w:szCs w:val="24"/>
          <w14:ligatures w14:val="standardContextual"/>
        </w:rPr>
      </w:pPr>
      <w:r w:rsidRPr="009D7A51">
        <w:fldChar w:fldCharType="begin"/>
      </w:r>
      <w:r w:rsidRPr="009D7A51">
        <w:instrText xml:space="preserve"> TOC \o "1-9" \n \h \z \t "chead1,1,chead2,2" </w:instrText>
      </w:r>
      <w:r w:rsidRPr="009D7A51">
        <w:fldChar w:fldCharType="separate"/>
      </w:r>
      <w:hyperlink w:anchor="_Toc199331855" w:history="1">
        <w:r w:rsidR="00243977" w:rsidRPr="00172623">
          <w:rPr>
            <w:rStyle w:val="Hyperlink"/>
          </w:rPr>
          <w:t>200.000</w:t>
        </w:r>
        <w:r w:rsidR="00243977">
          <w:rPr>
            <w:rFonts w:asciiTheme="minorHAnsi" w:eastAsiaTheme="minorEastAsia" w:hAnsiTheme="minorHAnsi" w:cstheme="minorBidi"/>
            <w:b w:val="0"/>
            <w:caps w:val="0"/>
            <w:color w:val="auto"/>
            <w:kern w:val="2"/>
            <w:sz w:val="24"/>
            <w:szCs w:val="24"/>
            <w14:ligatures w14:val="standardContextual"/>
          </w:rPr>
          <w:tab/>
        </w:r>
        <w:r w:rsidR="00243977" w:rsidRPr="00172623">
          <w:rPr>
            <w:rStyle w:val="Hyperlink"/>
          </w:rPr>
          <w:t>Visual Care GENERAL INFORMATION</w:t>
        </w:r>
      </w:hyperlink>
    </w:p>
    <w:p w14:paraId="71E941F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56" w:history="1">
        <w:r w:rsidRPr="00172623">
          <w:rPr>
            <w:rStyle w:val="Hyperlink"/>
          </w:rPr>
          <w:t>201.000</w:t>
        </w:r>
        <w:r>
          <w:rPr>
            <w:rFonts w:asciiTheme="minorHAnsi" w:eastAsiaTheme="minorEastAsia" w:hAnsiTheme="minorHAnsi" w:cstheme="minorBidi"/>
            <w:kern w:val="2"/>
            <w:sz w:val="24"/>
            <w:szCs w:val="24"/>
            <w14:ligatures w14:val="standardContextual"/>
          </w:rPr>
          <w:tab/>
        </w:r>
        <w:r w:rsidRPr="00172623">
          <w:rPr>
            <w:rStyle w:val="Hyperlink"/>
          </w:rPr>
          <w:t>Arkansas Medicaid Participation Requirements for Visual Care Providers</w:t>
        </w:r>
      </w:hyperlink>
    </w:p>
    <w:p w14:paraId="1C93F9D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57" w:history="1">
        <w:r w:rsidRPr="00172623">
          <w:rPr>
            <w:rStyle w:val="Hyperlink"/>
          </w:rPr>
          <w:t>201.100</w:t>
        </w:r>
        <w:r>
          <w:rPr>
            <w:rFonts w:asciiTheme="minorHAnsi" w:eastAsiaTheme="minorEastAsia" w:hAnsiTheme="minorHAnsi" w:cstheme="minorBidi"/>
            <w:kern w:val="2"/>
            <w:sz w:val="24"/>
            <w:szCs w:val="24"/>
            <w14:ligatures w14:val="standardContextual"/>
          </w:rPr>
          <w:tab/>
        </w:r>
        <w:r w:rsidRPr="00172623">
          <w:rPr>
            <w:rStyle w:val="Hyperlink"/>
          </w:rPr>
          <w:t>Group Providers of Visual Care Services</w:t>
        </w:r>
      </w:hyperlink>
    </w:p>
    <w:p w14:paraId="73E4A2F7"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58" w:history="1">
        <w:r w:rsidRPr="00172623">
          <w:rPr>
            <w:rStyle w:val="Hyperlink"/>
          </w:rPr>
          <w:t>201.110</w:t>
        </w:r>
        <w:r>
          <w:rPr>
            <w:rFonts w:asciiTheme="minorHAnsi" w:eastAsiaTheme="minorEastAsia" w:hAnsiTheme="minorHAnsi" w:cstheme="minorBidi"/>
            <w:kern w:val="2"/>
            <w:sz w:val="24"/>
            <w:szCs w:val="24"/>
            <w14:ligatures w14:val="standardContextual"/>
          </w:rPr>
          <w:tab/>
        </w:r>
        <w:r w:rsidRPr="00172623">
          <w:rPr>
            <w:rStyle w:val="Hyperlink"/>
          </w:rPr>
          <w:t>Visual Care Providers in Arkansas and Bordering States</w:t>
        </w:r>
      </w:hyperlink>
    </w:p>
    <w:p w14:paraId="254CD33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59" w:history="1">
        <w:r w:rsidRPr="00172623">
          <w:rPr>
            <w:rStyle w:val="Hyperlink"/>
          </w:rPr>
          <w:t>201.120</w:t>
        </w:r>
        <w:r>
          <w:rPr>
            <w:rFonts w:asciiTheme="minorHAnsi" w:eastAsiaTheme="minorEastAsia" w:hAnsiTheme="minorHAnsi" w:cstheme="minorBidi"/>
            <w:kern w:val="2"/>
            <w:sz w:val="24"/>
            <w:szCs w:val="24"/>
            <w14:ligatures w14:val="standardContextual"/>
          </w:rPr>
          <w:tab/>
        </w:r>
        <w:r w:rsidRPr="00172623">
          <w:rPr>
            <w:rStyle w:val="Hyperlink"/>
          </w:rPr>
          <w:t>Visual Care Providers in States Not Bordering Arkansas</w:t>
        </w:r>
      </w:hyperlink>
    </w:p>
    <w:p w14:paraId="0F4FDDF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0" w:history="1">
        <w:r w:rsidRPr="00172623">
          <w:rPr>
            <w:rStyle w:val="Hyperlink"/>
          </w:rPr>
          <w:t>201.200</w:t>
        </w:r>
        <w:r>
          <w:rPr>
            <w:rFonts w:asciiTheme="minorHAnsi" w:eastAsiaTheme="minorEastAsia" w:hAnsiTheme="minorHAnsi" w:cstheme="minorBidi"/>
            <w:kern w:val="2"/>
            <w:sz w:val="24"/>
            <w:szCs w:val="24"/>
            <w14:ligatures w14:val="standardContextual"/>
          </w:rPr>
          <w:tab/>
        </w:r>
        <w:r w:rsidRPr="00172623">
          <w:rPr>
            <w:rStyle w:val="Hyperlink"/>
          </w:rPr>
          <w:t>Services to Beneficiaries with Refraction</w:t>
        </w:r>
      </w:hyperlink>
    </w:p>
    <w:p w14:paraId="06041A2A"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1" w:history="1">
        <w:r w:rsidRPr="00172623">
          <w:rPr>
            <w:rStyle w:val="Hyperlink"/>
          </w:rPr>
          <w:t>202.000</w:t>
        </w:r>
        <w:r>
          <w:rPr>
            <w:rFonts w:asciiTheme="minorHAnsi" w:eastAsiaTheme="minorEastAsia" w:hAnsiTheme="minorHAnsi" w:cstheme="minorBidi"/>
            <w:kern w:val="2"/>
            <w:sz w:val="24"/>
            <w:szCs w:val="24"/>
            <w14:ligatures w14:val="standardContextual"/>
          </w:rPr>
          <w:tab/>
        </w:r>
        <w:r w:rsidRPr="00172623">
          <w:rPr>
            <w:rStyle w:val="Hyperlink"/>
          </w:rPr>
          <w:t>Visual Care Records Providers Are Required to Keep</w:t>
        </w:r>
      </w:hyperlink>
    </w:p>
    <w:p w14:paraId="666C7C45"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2" w:history="1">
        <w:r w:rsidRPr="00172623">
          <w:rPr>
            <w:rStyle w:val="Hyperlink"/>
          </w:rPr>
          <w:t>203.000</w:t>
        </w:r>
        <w:r>
          <w:rPr>
            <w:rFonts w:asciiTheme="minorHAnsi" w:eastAsiaTheme="minorEastAsia" w:hAnsiTheme="minorHAnsi" w:cstheme="minorBidi"/>
            <w:kern w:val="2"/>
            <w:sz w:val="24"/>
            <w:szCs w:val="24"/>
            <w14:ligatures w14:val="standardContextual"/>
          </w:rPr>
          <w:tab/>
        </w:r>
        <w:r w:rsidRPr="00172623">
          <w:rPr>
            <w:rStyle w:val="Hyperlink"/>
          </w:rPr>
          <w:t>Monitoring Performance of the Medicaid Optical Equipment Supplier</w:t>
        </w:r>
      </w:hyperlink>
    </w:p>
    <w:p w14:paraId="6AE85A0D"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3" w:history="1">
        <w:r w:rsidRPr="00172623">
          <w:rPr>
            <w:rStyle w:val="Hyperlink"/>
          </w:rPr>
          <w:t>204.000</w:t>
        </w:r>
        <w:r>
          <w:rPr>
            <w:rFonts w:asciiTheme="minorHAnsi" w:eastAsiaTheme="minorEastAsia" w:hAnsiTheme="minorHAnsi" w:cstheme="minorBidi"/>
            <w:kern w:val="2"/>
            <w:sz w:val="24"/>
            <w:szCs w:val="24"/>
            <w14:ligatures w14:val="standardContextual"/>
          </w:rPr>
          <w:tab/>
        </w:r>
        <w:r w:rsidRPr="00172623">
          <w:rPr>
            <w:rStyle w:val="Hyperlink"/>
          </w:rPr>
          <w:t>The Visual Care Provider’s Role in the Child Health Services (EPSDT) Program</w:t>
        </w:r>
      </w:hyperlink>
    </w:p>
    <w:p w14:paraId="6ED38FA5" w14:textId="77777777" w:rsidR="00243977" w:rsidRDefault="00243977">
      <w:pPr>
        <w:pStyle w:val="TOC1"/>
        <w:rPr>
          <w:rFonts w:asciiTheme="minorHAnsi" w:eastAsiaTheme="minorEastAsia" w:hAnsiTheme="minorHAnsi" w:cstheme="minorBidi"/>
          <w:b w:val="0"/>
          <w:caps w:val="0"/>
          <w:color w:val="auto"/>
          <w:kern w:val="2"/>
          <w:sz w:val="24"/>
          <w:szCs w:val="24"/>
          <w14:ligatures w14:val="standardContextual"/>
        </w:rPr>
      </w:pPr>
      <w:hyperlink w:anchor="_Toc199331864" w:history="1">
        <w:r w:rsidRPr="00172623">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172623">
          <w:rPr>
            <w:rStyle w:val="Hyperlink"/>
          </w:rPr>
          <w:t>Program coverage</w:t>
        </w:r>
      </w:hyperlink>
    </w:p>
    <w:p w14:paraId="453A8E9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5" w:history="1">
        <w:r w:rsidRPr="00172623">
          <w:rPr>
            <w:rStyle w:val="Hyperlink"/>
          </w:rPr>
          <w:t>211.000</w:t>
        </w:r>
        <w:r>
          <w:rPr>
            <w:rFonts w:asciiTheme="minorHAnsi" w:eastAsiaTheme="minorEastAsia" w:hAnsiTheme="minorHAnsi" w:cstheme="minorBidi"/>
            <w:kern w:val="2"/>
            <w:sz w:val="24"/>
            <w:szCs w:val="24"/>
            <w14:ligatures w14:val="standardContextual"/>
          </w:rPr>
          <w:tab/>
        </w:r>
        <w:r w:rsidRPr="00172623">
          <w:rPr>
            <w:rStyle w:val="Hyperlink"/>
          </w:rPr>
          <w:t>Introduction</w:t>
        </w:r>
      </w:hyperlink>
    </w:p>
    <w:p w14:paraId="727C6AF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6" w:history="1">
        <w:r w:rsidRPr="00172623">
          <w:rPr>
            <w:rStyle w:val="Hyperlink"/>
          </w:rPr>
          <w:t>212.000</w:t>
        </w:r>
        <w:r>
          <w:rPr>
            <w:rFonts w:asciiTheme="minorHAnsi" w:eastAsiaTheme="minorEastAsia" w:hAnsiTheme="minorHAnsi" w:cstheme="minorBidi"/>
            <w:kern w:val="2"/>
            <w:sz w:val="24"/>
            <w:szCs w:val="24"/>
            <w14:ligatures w14:val="standardContextual"/>
          </w:rPr>
          <w:tab/>
        </w:r>
        <w:r w:rsidRPr="00172623">
          <w:rPr>
            <w:rStyle w:val="Hyperlink"/>
          </w:rPr>
          <w:t>Contact Lens</w:t>
        </w:r>
      </w:hyperlink>
    </w:p>
    <w:p w14:paraId="2A1FEC6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7" w:history="1">
        <w:r w:rsidRPr="00172623">
          <w:rPr>
            <w:rStyle w:val="Hyperlink"/>
          </w:rPr>
          <w:t>213.000</w:t>
        </w:r>
        <w:r>
          <w:rPr>
            <w:rFonts w:asciiTheme="minorHAnsi" w:eastAsiaTheme="minorEastAsia" w:hAnsiTheme="minorHAnsi" w:cstheme="minorBidi"/>
            <w:kern w:val="2"/>
            <w:sz w:val="24"/>
            <w:szCs w:val="24"/>
            <w14:ligatures w14:val="standardContextual"/>
          </w:rPr>
          <w:tab/>
        </w:r>
        <w:r w:rsidRPr="00172623">
          <w:rPr>
            <w:rStyle w:val="Hyperlink"/>
          </w:rPr>
          <w:t>Adult Program</w:t>
        </w:r>
      </w:hyperlink>
    </w:p>
    <w:p w14:paraId="25BD1CA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8" w:history="1">
        <w:r w:rsidRPr="00172623">
          <w:rPr>
            <w:rStyle w:val="Hyperlink"/>
          </w:rPr>
          <w:t>213.100</w:t>
        </w:r>
        <w:r>
          <w:rPr>
            <w:rFonts w:asciiTheme="minorHAnsi" w:eastAsiaTheme="minorEastAsia" w:hAnsiTheme="minorHAnsi" w:cstheme="minorBidi"/>
            <w:kern w:val="2"/>
            <w:sz w:val="24"/>
            <w:szCs w:val="24"/>
            <w14:ligatures w14:val="standardContextual"/>
          </w:rPr>
          <w:tab/>
        </w:r>
        <w:r w:rsidRPr="00172623">
          <w:rPr>
            <w:rStyle w:val="Hyperlink"/>
          </w:rPr>
          <w:t>Scope of the Adult Program</w:t>
        </w:r>
      </w:hyperlink>
    </w:p>
    <w:p w14:paraId="63005E4C"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69" w:history="1">
        <w:r w:rsidRPr="00172623">
          <w:rPr>
            <w:rStyle w:val="Hyperlink"/>
          </w:rPr>
          <w:t>213.200</w:t>
        </w:r>
        <w:r>
          <w:rPr>
            <w:rFonts w:asciiTheme="minorHAnsi" w:eastAsiaTheme="minorEastAsia" w:hAnsiTheme="minorHAnsi" w:cstheme="minorBidi"/>
            <w:kern w:val="2"/>
            <w:sz w:val="24"/>
            <w:szCs w:val="24"/>
            <w14:ligatures w14:val="standardContextual"/>
          </w:rPr>
          <w:tab/>
        </w:r>
        <w:r w:rsidRPr="00172623">
          <w:rPr>
            <w:rStyle w:val="Hyperlink"/>
          </w:rPr>
          <w:t>Coverage and Limitations of the Adult Program</w:t>
        </w:r>
      </w:hyperlink>
    </w:p>
    <w:p w14:paraId="202E7595"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0" w:history="1">
        <w:r w:rsidRPr="00172623">
          <w:rPr>
            <w:rStyle w:val="Hyperlink"/>
          </w:rPr>
          <w:t>213.300</w:t>
        </w:r>
        <w:r>
          <w:rPr>
            <w:rFonts w:asciiTheme="minorHAnsi" w:eastAsiaTheme="minorEastAsia" w:hAnsiTheme="minorHAnsi" w:cstheme="minorBidi"/>
            <w:kern w:val="2"/>
            <w:sz w:val="24"/>
            <w:szCs w:val="24"/>
            <w14:ligatures w14:val="standardContextual"/>
          </w:rPr>
          <w:tab/>
        </w:r>
        <w:r w:rsidRPr="00172623">
          <w:rPr>
            <w:rStyle w:val="Hyperlink"/>
          </w:rPr>
          <w:t>Exclusions in the Adult Program</w:t>
        </w:r>
      </w:hyperlink>
    </w:p>
    <w:p w14:paraId="3161A527"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1" w:history="1">
        <w:r w:rsidRPr="00172623">
          <w:rPr>
            <w:rStyle w:val="Hyperlink"/>
          </w:rPr>
          <w:t>214.000</w:t>
        </w:r>
        <w:r>
          <w:rPr>
            <w:rFonts w:asciiTheme="minorHAnsi" w:eastAsiaTheme="minorEastAsia" w:hAnsiTheme="minorHAnsi" w:cstheme="minorBidi"/>
            <w:kern w:val="2"/>
            <w:sz w:val="24"/>
            <w:szCs w:val="24"/>
            <w14:ligatures w14:val="standardContextual"/>
          </w:rPr>
          <w:tab/>
        </w:r>
        <w:r w:rsidRPr="00172623">
          <w:rPr>
            <w:rStyle w:val="Hyperlink"/>
          </w:rPr>
          <w:t>Under Age 21 Program</w:t>
        </w:r>
      </w:hyperlink>
    </w:p>
    <w:p w14:paraId="0A09A2B6"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2" w:history="1">
        <w:r w:rsidRPr="00172623">
          <w:rPr>
            <w:rStyle w:val="Hyperlink"/>
          </w:rPr>
          <w:t>214.100</w:t>
        </w:r>
        <w:r>
          <w:rPr>
            <w:rFonts w:asciiTheme="minorHAnsi" w:eastAsiaTheme="minorEastAsia" w:hAnsiTheme="minorHAnsi" w:cstheme="minorBidi"/>
            <w:kern w:val="2"/>
            <w:sz w:val="24"/>
            <w:szCs w:val="24"/>
            <w14:ligatures w14:val="standardContextual"/>
          </w:rPr>
          <w:tab/>
        </w:r>
        <w:r w:rsidRPr="00172623">
          <w:rPr>
            <w:rStyle w:val="Hyperlink"/>
          </w:rPr>
          <w:t>Scope of the Under Age 21 Program</w:t>
        </w:r>
      </w:hyperlink>
    </w:p>
    <w:p w14:paraId="2EB3D5EB"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3" w:history="1">
        <w:r w:rsidRPr="00172623">
          <w:rPr>
            <w:rStyle w:val="Hyperlink"/>
          </w:rPr>
          <w:t>214.200</w:t>
        </w:r>
        <w:r>
          <w:rPr>
            <w:rFonts w:asciiTheme="minorHAnsi" w:eastAsiaTheme="minorEastAsia" w:hAnsiTheme="minorHAnsi" w:cstheme="minorBidi"/>
            <w:kern w:val="2"/>
            <w:sz w:val="24"/>
            <w:szCs w:val="24"/>
            <w14:ligatures w14:val="standardContextual"/>
          </w:rPr>
          <w:tab/>
        </w:r>
        <w:r w:rsidRPr="00172623">
          <w:rPr>
            <w:rStyle w:val="Hyperlink"/>
          </w:rPr>
          <w:t>Coverage and Limitations of the Under Age 21 Program</w:t>
        </w:r>
      </w:hyperlink>
    </w:p>
    <w:p w14:paraId="44225BE2"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4" w:history="1">
        <w:r w:rsidRPr="00172623">
          <w:rPr>
            <w:rStyle w:val="Hyperlink"/>
          </w:rPr>
          <w:t>214.300</w:t>
        </w:r>
        <w:r>
          <w:rPr>
            <w:rFonts w:asciiTheme="minorHAnsi" w:eastAsiaTheme="minorEastAsia" w:hAnsiTheme="minorHAnsi" w:cstheme="minorBidi"/>
            <w:kern w:val="2"/>
            <w:sz w:val="24"/>
            <w:szCs w:val="24"/>
            <w14:ligatures w14:val="standardContextual"/>
          </w:rPr>
          <w:tab/>
        </w:r>
        <w:r w:rsidRPr="00172623">
          <w:rPr>
            <w:rStyle w:val="Hyperlink"/>
          </w:rPr>
          <w:t>Exclusions in the Under Age 21 Program</w:t>
        </w:r>
      </w:hyperlink>
    </w:p>
    <w:p w14:paraId="752BB9D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5" w:history="1">
        <w:r w:rsidRPr="00172623">
          <w:rPr>
            <w:rStyle w:val="Hyperlink"/>
          </w:rPr>
          <w:t>215.000</w:t>
        </w:r>
        <w:r>
          <w:rPr>
            <w:rFonts w:asciiTheme="minorHAnsi" w:eastAsiaTheme="minorEastAsia" w:hAnsiTheme="minorHAnsi" w:cstheme="minorBidi"/>
            <w:kern w:val="2"/>
            <w:sz w:val="24"/>
            <w:szCs w:val="24"/>
            <w14:ligatures w14:val="standardContextual"/>
          </w:rPr>
          <w:tab/>
        </w:r>
        <w:r w:rsidRPr="00172623">
          <w:rPr>
            <w:rStyle w:val="Hyperlink"/>
          </w:rPr>
          <w:t>Eyeglasses Covered by Medicaid</w:t>
        </w:r>
      </w:hyperlink>
    </w:p>
    <w:p w14:paraId="2984D3DB"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6" w:history="1">
        <w:r w:rsidRPr="00172623">
          <w:rPr>
            <w:rStyle w:val="Hyperlink"/>
          </w:rPr>
          <w:t>216.000</w:t>
        </w:r>
        <w:r>
          <w:rPr>
            <w:rFonts w:asciiTheme="minorHAnsi" w:eastAsiaTheme="minorEastAsia" w:hAnsiTheme="minorHAnsi" w:cstheme="minorBidi"/>
            <w:kern w:val="2"/>
            <w:sz w:val="24"/>
            <w:szCs w:val="24"/>
            <w14:ligatures w14:val="standardContextual"/>
          </w:rPr>
          <w:tab/>
        </w:r>
        <w:r w:rsidRPr="00172623">
          <w:rPr>
            <w:rStyle w:val="Hyperlink"/>
          </w:rPr>
          <w:t>Medical Procedures Billable by Optometrists</w:t>
        </w:r>
      </w:hyperlink>
    </w:p>
    <w:p w14:paraId="67C04A4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7" w:history="1">
        <w:r w:rsidRPr="00172623">
          <w:rPr>
            <w:rStyle w:val="Hyperlink"/>
          </w:rPr>
          <w:t>216.100</w:t>
        </w:r>
        <w:r>
          <w:rPr>
            <w:rFonts w:asciiTheme="minorHAnsi" w:eastAsiaTheme="minorEastAsia" w:hAnsiTheme="minorHAnsi" w:cstheme="minorBidi"/>
            <w:kern w:val="2"/>
            <w:sz w:val="24"/>
            <w:szCs w:val="24"/>
            <w14:ligatures w14:val="standardContextual"/>
          </w:rPr>
          <w:tab/>
        </w:r>
        <w:r w:rsidRPr="00172623">
          <w:rPr>
            <w:rStyle w:val="Hyperlink"/>
          </w:rPr>
          <w:t>Extension of Benefits for Office Medical Services Provided by an Optometrist</w:t>
        </w:r>
      </w:hyperlink>
    </w:p>
    <w:p w14:paraId="56EF72B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8" w:history="1">
        <w:r w:rsidRPr="00172623">
          <w:rPr>
            <w:rStyle w:val="Hyperlink"/>
          </w:rPr>
          <w:t>216.200</w:t>
        </w:r>
        <w:r>
          <w:rPr>
            <w:rFonts w:asciiTheme="minorHAnsi" w:eastAsiaTheme="minorEastAsia" w:hAnsiTheme="minorHAnsi" w:cstheme="minorBidi"/>
            <w:kern w:val="2"/>
            <w:sz w:val="24"/>
            <w:szCs w:val="24"/>
            <w14:ligatures w14:val="standardContextual"/>
          </w:rPr>
          <w:tab/>
        </w:r>
        <w:r w:rsidRPr="00172623">
          <w:rPr>
            <w:rStyle w:val="Hyperlink"/>
          </w:rPr>
          <w:t>Procedure for Obtaining Extension of Benefits for Medical Services Provided by an Optometrist</w:t>
        </w:r>
      </w:hyperlink>
    </w:p>
    <w:p w14:paraId="3B0FE0C5"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79" w:history="1">
        <w:r w:rsidRPr="00172623">
          <w:rPr>
            <w:rStyle w:val="Hyperlink"/>
          </w:rPr>
          <w:t>216.210</w:t>
        </w:r>
        <w:r>
          <w:rPr>
            <w:rFonts w:asciiTheme="minorHAnsi" w:eastAsiaTheme="minorEastAsia" w:hAnsiTheme="minorHAnsi" w:cstheme="minorBidi"/>
            <w:kern w:val="2"/>
            <w:sz w:val="24"/>
            <w:szCs w:val="24"/>
            <w14:ligatures w14:val="standardContextual"/>
          </w:rPr>
          <w:tab/>
        </w:r>
        <w:r w:rsidRPr="00172623">
          <w:rPr>
            <w:rStyle w:val="Hyperlink"/>
          </w:rPr>
          <w:t>Completion of Form DMS-671, “Request For Extension of Benefits for Clinical, Outpatient, Diagnostic Laboratory, and Radiology/Other Services”</w:t>
        </w:r>
      </w:hyperlink>
    </w:p>
    <w:p w14:paraId="6B2EB1B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0" w:history="1">
        <w:r w:rsidRPr="00172623">
          <w:rPr>
            <w:rStyle w:val="Hyperlink"/>
          </w:rPr>
          <w:t>216.220</w:t>
        </w:r>
        <w:r>
          <w:rPr>
            <w:rFonts w:asciiTheme="minorHAnsi" w:eastAsiaTheme="minorEastAsia" w:hAnsiTheme="minorHAnsi" w:cstheme="minorBidi"/>
            <w:kern w:val="2"/>
            <w:sz w:val="24"/>
            <w:szCs w:val="24"/>
            <w14:ligatures w14:val="standardContextual"/>
          </w:rPr>
          <w:tab/>
        </w:r>
        <w:r w:rsidRPr="00172623">
          <w:rPr>
            <w:rStyle w:val="Hyperlink"/>
          </w:rPr>
          <w:t>Documentation Requirements</w:t>
        </w:r>
      </w:hyperlink>
    </w:p>
    <w:p w14:paraId="7963C21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1" w:history="1">
        <w:r w:rsidRPr="00172623">
          <w:rPr>
            <w:rStyle w:val="Hyperlink"/>
          </w:rPr>
          <w:t>216.230</w:t>
        </w:r>
        <w:r>
          <w:rPr>
            <w:rFonts w:asciiTheme="minorHAnsi" w:eastAsiaTheme="minorEastAsia" w:hAnsiTheme="minorHAnsi" w:cstheme="minorBidi"/>
            <w:kern w:val="2"/>
            <w:sz w:val="24"/>
            <w:szCs w:val="24"/>
            <w14:ligatures w14:val="standardContextual"/>
          </w:rPr>
          <w:tab/>
        </w:r>
        <w:r w:rsidRPr="00172623">
          <w:rPr>
            <w:rStyle w:val="Hyperlink"/>
          </w:rPr>
          <w:t xml:space="preserve">Administrative Reconsideration </w:t>
        </w:r>
        <w:r w:rsidRPr="00172623">
          <w:rPr>
            <w:rStyle w:val="Hyperlink"/>
            <w:highlight w:val="yellow"/>
          </w:rPr>
          <w:t>and Appeals</w:t>
        </w:r>
      </w:hyperlink>
    </w:p>
    <w:p w14:paraId="031AEB9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2" w:history="1">
        <w:r w:rsidRPr="00172623">
          <w:rPr>
            <w:rStyle w:val="Hyperlink"/>
          </w:rPr>
          <w:t>216.240</w:t>
        </w:r>
        <w:r>
          <w:rPr>
            <w:rFonts w:asciiTheme="minorHAnsi" w:eastAsiaTheme="minorEastAsia" w:hAnsiTheme="minorHAnsi" w:cstheme="minorBidi"/>
            <w:kern w:val="2"/>
            <w:sz w:val="24"/>
            <w:szCs w:val="24"/>
            <w14:ligatures w14:val="standardContextual"/>
          </w:rPr>
          <w:tab/>
        </w:r>
        <w:r w:rsidRPr="00172623">
          <w:rPr>
            <w:rStyle w:val="Hyperlink"/>
            <w:highlight w:val="yellow"/>
          </w:rPr>
          <w:t>Reserved</w:t>
        </w:r>
      </w:hyperlink>
    </w:p>
    <w:p w14:paraId="3ACDC379"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3" w:history="1">
        <w:r w:rsidRPr="00172623">
          <w:rPr>
            <w:rStyle w:val="Hyperlink"/>
          </w:rPr>
          <w:t>216.300</w:t>
        </w:r>
        <w:r>
          <w:rPr>
            <w:rFonts w:asciiTheme="minorHAnsi" w:eastAsiaTheme="minorEastAsia" w:hAnsiTheme="minorHAnsi" w:cstheme="minorBidi"/>
            <w:kern w:val="2"/>
            <w:sz w:val="24"/>
            <w:szCs w:val="24"/>
            <w14:ligatures w14:val="standardContextual"/>
          </w:rPr>
          <w:tab/>
        </w:r>
        <w:r w:rsidRPr="00172623">
          <w:rPr>
            <w:rStyle w:val="Hyperlink"/>
          </w:rPr>
          <w:t>Prescription Drugs</w:t>
        </w:r>
      </w:hyperlink>
    </w:p>
    <w:p w14:paraId="02D0BFD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4" w:history="1">
        <w:r w:rsidRPr="00172623">
          <w:rPr>
            <w:rStyle w:val="Hyperlink"/>
          </w:rPr>
          <w:t>216.301</w:t>
        </w:r>
        <w:r>
          <w:rPr>
            <w:rFonts w:asciiTheme="minorHAnsi" w:eastAsiaTheme="minorEastAsia" w:hAnsiTheme="minorHAnsi" w:cstheme="minorBidi"/>
            <w:kern w:val="2"/>
            <w:sz w:val="24"/>
            <w:szCs w:val="24"/>
            <w14:ligatures w14:val="standardContextual"/>
          </w:rPr>
          <w:tab/>
        </w:r>
        <w:r w:rsidRPr="00172623">
          <w:rPr>
            <w:rStyle w:val="Hyperlink"/>
          </w:rPr>
          <w:t>Tamper Resistant Prescription Applications</w:t>
        </w:r>
      </w:hyperlink>
    </w:p>
    <w:p w14:paraId="1D5C8582"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5" w:history="1">
        <w:r w:rsidRPr="00172623">
          <w:rPr>
            <w:rStyle w:val="Hyperlink"/>
          </w:rPr>
          <w:t>217.000</w:t>
        </w:r>
        <w:r>
          <w:rPr>
            <w:rFonts w:asciiTheme="minorHAnsi" w:eastAsiaTheme="minorEastAsia" w:hAnsiTheme="minorHAnsi" w:cstheme="minorBidi"/>
            <w:kern w:val="2"/>
            <w:sz w:val="24"/>
            <w:szCs w:val="24"/>
            <w14:ligatures w14:val="standardContextual"/>
          </w:rPr>
          <w:tab/>
        </w:r>
        <w:r w:rsidRPr="00172623">
          <w:rPr>
            <w:rStyle w:val="Hyperlink"/>
          </w:rPr>
          <w:t>Electronic Signatures</w:t>
        </w:r>
      </w:hyperlink>
    </w:p>
    <w:p w14:paraId="017A7D03" w14:textId="77777777" w:rsidR="00243977" w:rsidRDefault="00243977">
      <w:pPr>
        <w:pStyle w:val="TOC1"/>
        <w:rPr>
          <w:rFonts w:asciiTheme="minorHAnsi" w:eastAsiaTheme="minorEastAsia" w:hAnsiTheme="minorHAnsi" w:cstheme="minorBidi"/>
          <w:b w:val="0"/>
          <w:caps w:val="0"/>
          <w:color w:val="auto"/>
          <w:kern w:val="2"/>
          <w:sz w:val="24"/>
          <w:szCs w:val="24"/>
          <w14:ligatures w14:val="standardContextual"/>
        </w:rPr>
      </w:pPr>
      <w:hyperlink w:anchor="_Toc199331886" w:history="1">
        <w:r w:rsidRPr="00172623">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172623">
          <w:rPr>
            <w:rStyle w:val="Hyperlink"/>
          </w:rPr>
          <w:t>PRIOR AUTHORIZATION</w:t>
        </w:r>
      </w:hyperlink>
    </w:p>
    <w:p w14:paraId="531A89B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7" w:history="1">
        <w:r w:rsidRPr="00172623">
          <w:rPr>
            <w:rStyle w:val="Hyperlink"/>
          </w:rPr>
          <w:t>221.000</w:t>
        </w:r>
        <w:r>
          <w:rPr>
            <w:rFonts w:asciiTheme="minorHAnsi" w:eastAsiaTheme="minorEastAsia" w:hAnsiTheme="minorHAnsi" w:cstheme="minorBidi"/>
            <w:kern w:val="2"/>
            <w:sz w:val="24"/>
            <w:szCs w:val="24"/>
            <w14:ligatures w14:val="standardContextual"/>
          </w:rPr>
          <w:tab/>
        </w:r>
        <w:r w:rsidRPr="00172623">
          <w:rPr>
            <w:rStyle w:val="Hyperlink"/>
          </w:rPr>
          <w:t>How to Obtain Prior Authorization</w:t>
        </w:r>
      </w:hyperlink>
    </w:p>
    <w:p w14:paraId="3C224970"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8" w:history="1">
        <w:r w:rsidRPr="00172623">
          <w:rPr>
            <w:rStyle w:val="Hyperlink"/>
          </w:rPr>
          <w:t>221.100</w:t>
        </w:r>
        <w:r>
          <w:rPr>
            <w:rFonts w:asciiTheme="minorHAnsi" w:eastAsiaTheme="minorEastAsia" w:hAnsiTheme="minorHAnsi" w:cstheme="minorBidi"/>
            <w:kern w:val="2"/>
            <w:sz w:val="24"/>
            <w:szCs w:val="24"/>
            <w14:ligatures w14:val="standardContextual"/>
          </w:rPr>
          <w:tab/>
        </w:r>
        <w:r w:rsidRPr="00172623">
          <w:rPr>
            <w:rStyle w:val="Hyperlink"/>
          </w:rPr>
          <w:t>Extension of Benefits Review Process</w:t>
        </w:r>
      </w:hyperlink>
    </w:p>
    <w:p w14:paraId="0A681AB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89" w:history="1">
        <w:r w:rsidRPr="00172623">
          <w:rPr>
            <w:rStyle w:val="Hyperlink"/>
          </w:rPr>
          <w:t>222.000</w:t>
        </w:r>
        <w:r>
          <w:rPr>
            <w:rFonts w:asciiTheme="minorHAnsi" w:eastAsiaTheme="minorEastAsia" w:hAnsiTheme="minorHAnsi" w:cstheme="minorBidi"/>
            <w:kern w:val="2"/>
            <w:sz w:val="24"/>
            <w:szCs w:val="24"/>
            <w14:ligatures w14:val="standardContextual"/>
          </w:rPr>
          <w:tab/>
        </w:r>
        <w:r w:rsidRPr="00172623">
          <w:rPr>
            <w:rStyle w:val="Hyperlink"/>
          </w:rPr>
          <w:t>Duration of Authorization</w:t>
        </w:r>
      </w:hyperlink>
    </w:p>
    <w:p w14:paraId="56D5ADD4" w14:textId="77777777" w:rsidR="00243977" w:rsidRDefault="00243977">
      <w:pPr>
        <w:pStyle w:val="TOC1"/>
        <w:rPr>
          <w:rFonts w:asciiTheme="minorHAnsi" w:eastAsiaTheme="minorEastAsia" w:hAnsiTheme="minorHAnsi" w:cstheme="minorBidi"/>
          <w:b w:val="0"/>
          <w:caps w:val="0"/>
          <w:color w:val="auto"/>
          <w:kern w:val="2"/>
          <w:sz w:val="24"/>
          <w:szCs w:val="24"/>
          <w14:ligatures w14:val="standardContextual"/>
        </w:rPr>
      </w:pPr>
      <w:hyperlink w:anchor="_Toc199331890" w:history="1">
        <w:r w:rsidRPr="00172623">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172623">
          <w:rPr>
            <w:rStyle w:val="Hyperlink"/>
          </w:rPr>
          <w:t>REIMBURSEMENT</w:t>
        </w:r>
      </w:hyperlink>
    </w:p>
    <w:p w14:paraId="5E7A859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1" w:history="1">
        <w:r w:rsidRPr="00172623">
          <w:rPr>
            <w:rStyle w:val="Hyperlink"/>
          </w:rPr>
          <w:t>231.000</w:t>
        </w:r>
        <w:r>
          <w:rPr>
            <w:rFonts w:asciiTheme="minorHAnsi" w:eastAsiaTheme="minorEastAsia" w:hAnsiTheme="minorHAnsi" w:cstheme="minorBidi"/>
            <w:kern w:val="2"/>
            <w:sz w:val="24"/>
            <w:szCs w:val="24"/>
            <w14:ligatures w14:val="standardContextual"/>
          </w:rPr>
          <w:tab/>
        </w:r>
        <w:r w:rsidRPr="00172623">
          <w:rPr>
            <w:rStyle w:val="Hyperlink"/>
          </w:rPr>
          <w:t>Method of Reimbursement</w:t>
        </w:r>
      </w:hyperlink>
    </w:p>
    <w:p w14:paraId="1D62E69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2" w:history="1">
        <w:r w:rsidRPr="00172623">
          <w:rPr>
            <w:rStyle w:val="Hyperlink"/>
          </w:rPr>
          <w:t>231.010</w:t>
        </w:r>
        <w:r>
          <w:rPr>
            <w:rFonts w:asciiTheme="minorHAnsi" w:eastAsiaTheme="minorEastAsia" w:hAnsiTheme="minorHAnsi" w:cstheme="minorBidi"/>
            <w:kern w:val="2"/>
            <w:sz w:val="24"/>
            <w:szCs w:val="24"/>
            <w14:ligatures w14:val="standardContextual"/>
          </w:rPr>
          <w:tab/>
        </w:r>
        <w:r w:rsidRPr="00172623">
          <w:rPr>
            <w:rStyle w:val="Hyperlink"/>
          </w:rPr>
          <w:t>Fee Schedule</w:t>
        </w:r>
      </w:hyperlink>
    </w:p>
    <w:p w14:paraId="763408D0"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3" w:history="1">
        <w:r w:rsidRPr="00172623">
          <w:rPr>
            <w:rStyle w:val="Hyperlink"/>
          </w:rPr>
          <w:t>232.000</w:t>
        </w:r>
        <w:r>
          <w:rPr>
            <w:rFonts w:asciiTheme="minorHAnsi" w:eastAsiaTheme="minorEastAsia" w:hAnsiTheme="minorHAnsi" w:cstheme="minorBidi"/>
            <w:kern w:val="2"/>
            <w:sz w:val="24"/>
            <w:szCs w:val="24"/>
            <w14:ligatures w14:val="standardContextual"/>
          </w:rPr>
          <w:tab/>
        </w:r>
        <w:r w:rsidRPr="00172623">
          <w:rPr>
            <w:rStyle w:val="Hyperlink"/>
          </w:rPr>
          <w:t>Rate Appeal Process</w:t>
        </w:r>
      </w:hyperlink>
    </w:p>
    <w:p w14:paraId="4542FFFC" w14:textId="77777777" w:rsidR="00243977" w:rsidRDefault="00243977">
      <w:pPr>
        <w:pStyle w:val="TOC1"/>
        <w:rPr>
          <w:rFonts w:asciiTheme="minorHAnsi" w:eastAsiaTheme="minorEastAsia" w:hAnsiTheme="minorHAnsi" w:cstheme="minorBidi"/>
          <w:b w:val="0"/>
          <w:caps w:val="0"/>
          <w:color w:val="auto"/>
          <w:kern w:val="2"/>
          <w:sz w:val="24"/>
          <w:szCs w:val="24"/>
          <w14:ligatures w14:val="standardContextual"/>
        </w:rPr>
      </w:pPr>
      <w:hyperlink w:anchor="_Toc199331894" w:history="1">
        <w:r w:rsidRPr="00172623">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172623">
          <w:rPr>
            <w:rStyle w:val="Hyperlink"/>
          </w:rPr>
          <w:t>BILLING PROCEDURES</w:t>
        </w:r>
      </w:hyperlink>
    </w:p>
    <w:p w14:paraId="36633A18"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5" w:history="1">
        <w:r w:rsidRPr="00172623">
          <w:rPr>
            <w:rStyle w:val="Hyperlink"/>
          </w:rPr>
          <w:t>241.000</w:t>
        </w:r>
        <w:r>
          <w:rPr>
            <w:rFonts w:asciiTheme="minorHAnsi" w:eastAsiaTheme="minorEastAsia" w:hAnsiTheme="minorHAnsi" w:cstheme="minorBidi"/>
            <w:kern w:val="2"/>
            <w:sz w:val="24"/>
            <w:szCs w:val="24"/>
            <w14:ligatures w14:val="standardContextual"/>
          </w:rPr>
          <w:tab/>
        </w:r>
        <w:r w:rsidRPr="00172623">
          <w:rPr>
            <w:rStyle w:val="Hyperlink"/>
          </w:rPr>
          <w:t>Introduction to Billing</w:t>
        </w:r>
      </w:hyperlink>
    </w:p>
    <w:p w14:paraId="17B8728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6" w:history="1">
        <w:r w:rsidRPr="00172623">
          <w:rPr>
            <w:rStyle w:val="Hyperlink"/>
          </w:rPr>
          <w:t>242.000</w:t>
        </w:r>
        <w:r>
          <w:rPr>
            <w:rFonts w:asciiTheme="minorHAnsi" w:eastAsiaTheme="minorEastAsia" w:hAnsiTheme="minorHAnsi" w:cstheme="minorBidi"/>
            <w:kern w:val="2"/>
            <w:sz w:val="24"/>
            <w:szCs w:val="24"/>
            <w14:ligatures w14:val="standardContextual"/>
          </w:rPr>
          <w:tab/>
        </w:r>
        <w:r w:rsidRPr="00172623">
          <w:rPr>
            <w:rStyle w:val="Hyperlink"/>
          </w:rPr>
          <w:t>Reserved</w:t>
        </w:r>
      </w:hyperlink>
    </w:p>
    <w:p w14:paraId="1A0D72CB"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7" w:history="1">
        <w:r w:rsidRPr="00172623">
          <w:rPr>
            <w:rStyle w:val="Hyperlink"/>
          </w:rPr>
          <w:t>242.100</w:t>
        </w:r>
        <w:r>
          <w:rPr>
            <w:rFonts w:asciiTheme="minorHAnsi" w:eastAsiaTheme="minorEastAsia" w:hAnsiTheme="minorHAnsi" w:cstheme="minorBidi"/>
            <w:kern w:val="2"/>
            <w:sz w:val="24"/>
            <w:szCs w:val="24"/>
            <w14:ligatures w14:val="standardContextual"/>
          </w:rPr>
          <w:tab/>
        </w:r>
        <w:r w:rsidRPr="00172623">
          <w:rPr>
            <w:rStyle w:val="Hyperlink"/>
          </w:rPr>
          <w:t>Visual Care Procedure Codes</w:t>
        </w:r>
      </w:hyperlink>
    </w:p>
    <w:p w14:paraId="10F9848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8" w:history="1">
        <w:r w:rsidRPr="00172623">
          <w:rPr>
            <w:rStyle w:val="Hyperlink"/>
          </w:rPr>
          <w:t>242.110</w:t>
        </w:r>
        <w:r>
          <w:rPr>
            <w:rFonts w:asciiTheme="minorHAnsi" w:eastAsiaTheme="minorEastAsia" w:hAnsiTheme="minorHAnsi" w:cstheme="minorBidi"/>
            <w:kern w:val="2"/>
            <w:sz w:val="24"/>
            <w:szCs w:val="24"/>
            <w14:ligatures w14:val="standardContextual"/>
          </w:rPr>
          <w:tab/>
        </w:r>
        <w:r w:rsidRPr="00172623">
          <w:rPr>
            <w:rStyle w:val="Hyperlink"/>
          </w:rPr>
          <w:t>Visual Procedure Codes</w:t>
        </w:r>
      </w:hyperlink>
    </w:p>
    <w:p w14:paraId="4F5D0987"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899" w:history="1">
        <w:r w:rsidRPr="00172623">
          <w:rPr>
            <w:rStyle w:val="Hyperlink"/>
          </w:rPr>
          <w:t>242.120</w:t>
        </w:r>
        <w:r>
          <w:rPr>
            <w:rFonts w:asciiTheme="minorHAnsi" w:eastAsiaTheme="minorEastAsia" w:hAnsiTheme="minorHAnsi" w:cstheme="minorBidi"/>
            <w:kern w:val="2"/>
            <w:sz w:val="24"/>
            <w:szCs w:val="24"/>
            <w14:ligatures w14:val="standardContextual"/>
          </w:rPr>
          <w:tab/>
        </w:r>
        <w:r w:rsidRPr="00172623">
          <w:rPr>
            <w:rStyle w:val="Hyperlink"/>
          </w:rPr>
          <w:t>Co-pays for Prescription of Services</w:t>
        </w:r>
      </w:hyperlink>
    </w:p>
    <w:p w14:paraId="3F435084"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0" w:history="1">
        <w:r w:rsidRPr="00172623">
          <w:rPr>
            <w:rStyle w:val="Hyperlink"/>
          </w:rPr>
          <w:t>242.310</w:t>
        </w:r>
        <w:r>
          <w:rPr>
            <w:rFonts w:asciiTheme="minorHAnsi" w:eastAsiaTheme="minorEastAsia" w:hAnsiTheme="minorHAnsi" w:cstheme="minorBidi"/>
            <w:kern w:val="2"/>
            <w:sz w:val="24"/>
            <w:szCs w:val="24"/>
            <w14:ligatures w14:val="standardContextual"/>
          </w:rPr>
          <w:tab/>
        </w:r>
        <w:r w:rsidRPr="00172623">
          <w:rPr>
            <w:rStyle w:val="Hyperlink"/>
          </w:rPr>
          <w:t>Reserved</w:t>
        </w:r>
      </w:hyperlink>
    </w:p>
    <w:p w14:paraId="1474B4F1"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1" w:history="1">
        <w:r w:rsidRPr="00172623">
          <w:rPr>
            <w:rStyle w:val="Hyperlink"/>
          </w:rPr>
          <w:t>242.400</w:t>
        </w:r>
        <w:r>
          <w:rPr>
            <w:rFonts w:asciiTheme="minorHAnsi" w:eastAsiaTheme="minorEastAsia" w:hAnsiTheme="minorHAnsi" w:cstheme="minorBidi"/>
            <w:kern w:val="2"/>
            <w:sz w:val="24"/>
            <w:szCs w:val="24"/>
            <w14:ligatures w14:val="standardContextual"/>
          </w:rPr>
          <w:tab/>
        </w:r>
        <w:r w:rsidRPr="00172623">
          <w:rPr>
            <w:rStyle w:val="Hyperlink"/>
          </w:rPr>
          <w:t>Special Billing Procedures</w:t>
        </w:r>
      </w:hyperlink>
    </w:p>
    <w:p w14:paraId="5C4E44FC"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2" w:history="1">
        <w:r w:rsidRPr="00172623">
          <w:rPr>
            <w:rStyle w:val="Hyperlink"/>
          </w:rPr>
          <w:t>242.410</w:t>
        </w:r>
        <w:r>
          <w:rPr>
            <w:rFonts w:asciiTheme="minorHAnsi" w:eastAsiaTheme="minorEastAsia" w:hAnsiTheme="minorHAnsi" w:cstheme="minorBidi"/>
            <w:kern w:val="2"/>
            <w:sz w:val="24"/>
            <w:szCs w:val="24"/>
            <w14:ligatures w14:val="standardContextual"/>
          </w:rPr>
          <w:tab/>
        </w:r>
        <w:r w:rsidRPr="00172623">
          <w:rPr>
            <w:rStyle w:val="Hyperlink"/>
          </w:rPr>
          <w:t>Billing for Medicare/Medicaid Dually-Eligible Beneficiaries</w:t>
        </w:r>
      </w:hyperlink>
    </w:p>
    <w:p w14:paraId="41B963AB"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3" w:history="1">
        <w:r w:rsidRPr="00172623">
          <w:rPr>
            <w:rStyle w:val="Hyperlink"/>
          </w:rPr>
          <w:t>242.420</w:t>
        </w:r>
        <w:r>
          <w:rPr>
            <w:rFonts w:asciiTheme="minorHAnsi" w:eastAsiaTheme="minorEastAsia" w:hAnsiTheme="minorHAnsi" w:cstheme="minorBidi"/>
            <w:kern w:val="2"/>
            <w:sz w:val="24"/>
            <w:szCs w:val="24"/>
            <w14:ligatures w14:val="standardContextual"/>
          </w:rPr>
          <w:tab/>
        </w:r>
        <w:r w:rsidRPr="00172623">
          <w:rPr>
            <w:rStyle w:val="Hyperlink"/>
          </w:rPr>
          <w:t>Billing Instructions for Contact Lenses</w:t>
        </w:r>
      </w:hyperlink>
    </w:p>
    <w:p w14:paraId="00317516"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4" w:history="1">
        <w:r w:rsidRPr="00172623">
          <w:rPr>
            <w:rStyle w:val="Hyperlink"/>
          </w:rPr>
          <w:t>242.430</w:t>
        </w:r>
        <w:r>
          <w:rPr>
            <w:rFonts w:asciiTheme="minorHAnsi" w:eastAsiaTheme="minorEastAsia" w:hAnsiTheme="minorHAnsi" w:cstheme="minorBidi"/>
            <w:kern w:val="2"/>
            <w:sz w:val="24"/>
            <w:szCs w:val="24"/>
            <w14:ligatures w14:val="standardContextual"/>
          </w:rPr>
          <w:tab/>
        </w:r>
        <w:r w:rsidRPr="00172623">
          <w:rPr>
            <w:rStyle w:val="Hyperlink"/>
          </w:rPr>
          <w:t>Special Processing Procedures</w:t>
        </w:r>
      </w:hyperlink>
    </w:p>
    <w:p w14:paraId="046577E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5" w:history="1">
        <w:r w:rsidRPr="00172623">
          <w:rPr>
            <w:rStyle w:val="Hyperlink"/>
          </w:rPr>
          <w:t>242.440</w:t>
        </w:r>
        <w:r>
          <w:rPr>
            <w:rFonts w:asciiTheme="minorHAnsi" w:eastAsiaTheme="minorEastAsia" w:hAnsiTheme="minorHAnsi" w:cstheme="minorBidi"/>
            <w:kern w:val="2"/>
            <w:sz w:val="24"/>
            <w:szCs w:val="24"/>
            <w14:ligatures w14:val="standardContextual"/>
          </w:rPr>
          <w:tab/>
        </w:r>
        <w:r w:rsidRPr="00172623">
          <w:rPr>
            <w:rStyle w:val="Hyperlink"/>
          </w:rPr>
          <w:t>ICD Diagnosis Codes</w:t>
        </w:r>
      </w:hyperlink>
    </w:p>
    <w:p w14:paraId="43B69C0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6" w:history="1">
        <w:r w:rsidRPr="00172623">
          <w:rPr>
            <w:rStyle w:val="Hyperlink"/>
          </w:rPr>
          <w:t>243.000</w:t>
        </w:r>
        <w:r>
          <w:rPr>
            <w:rFonts w:asciiTheme="minorHAnsi" w:eastAsiaTheme="minorEastAsia" w:hAnsiTheme="minorHAnsi" w:cstheme="minorBidi"/>
            <w:kern w:val="2"/>
            <w:sz w:val="24"/>
            <w:szCs w:val="24"/>
            <w14:ligatures w14:val="standardContextual"/>
          </w:rPr>
          <w:tab/>
        </w:r>
        <w:r w:rsidRPr="00172623">
          <w:rPr>
            <w:rStyle w:val="Hyperlink"/>
          </w:rPr>
          <w:t>CMS-1500 Billing Procedures</w:t>
        </w:r>
      </w:hyperlink>
    </w:p>
    <w:p w14:paraId="4F8BE9E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7" w:history="1">
        <w:r w:rsidRPr="00172623">
          <w:rPr>
            <w:rStyle w:val="Hyperlink"/>
          </w:rPr>
          <w:t>243.100</w:t>
        </w:r>
        <w:r>
          <w:rPr>
            <w:rFonts w:asciiTheme="minorHAnsi" w:eastAsiaTheme="minorEastAsia" w:hAnsiTheme="minorHAnsi" w:cstheme="minorBidi"/>
            <w:kern w:val="2"/>
            <w:sz w:val="24"/>
            <w:szCs w:val="24"/>
            <w14:ligatures w14:val="standardContextual"/>
          </w:rPr>
          <w:tab/>
        </w:r>
        <w:r w:rsidRPr="00172623">
          <w:rPr>
            <w:rStyle w:val="Hyperlink"/>
          </w:rPr>
          <w:t>Visual Care Procedure Codes</w:t>
        </w:r>
      </w:hyperlink>
    </w:p>
    <w:p w14:paraId="459A240E"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8" w:history="1">
        <w:r w:rsidRPr="00172623">
          <w:rPr>
            <w:rStyle w:val="Hyperlink"/>
          </w:rPr>
          <w:t>243.120</w:t>
        </w:r>
        <w:r>
          <w:rPr>
            <w:rFonts w:asciiTheme="minorHAnsi" w:eastAsiaTheme="minorEastAsia" w:hAnsiTheme="minorHAnsi" w:cstheme="minorBidi"/>
            <w:kern w:val="2"/>
            <w:sz w:val="24"/>
            <w:szCs w:val="24"/>
            <w14:ligatures w14:val="standardContextual"/>
          </w:rPr>
          <w:tab/>
        </w:r>
        <w:r w:rsidRPr="00172623">
          <w:rPr>
            <w:rStyle w:val="Hyperlink"/>
          </w:rPr>
          <w:t>CPT Codes Payable in the Visual Care Program</w:t>
        </w:r>
      </w:hyperlink>
    </w:p>
    <w:p w14:paraId="456609B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09" w:history="1">
        <w:r w:rsidRPr="00172623">
          <w:rPr>
            <w:rStyle w:val="Hyperlink"/>
          </w:rPr>
          <w:t>243.130</w:t>
        </w:r>
        <w:r>
          <w:rPr>
            <w:rFonts w:asciiTheme="minorHAnsi" w:eastAsiaTheme="minorEastAsia" w:hAnsiTheme="minorHAnsi" w:cstheme="minorBidi"/>
            <w:kern w:val="2"/>
            <w:sz w:val="24"/>
            <w:szCs w:val="24"/>
            <w14:ligatures w14:val="standardContextual"/>
          </w:rPr>
          <w:tab/>
        </w:r>
        <w:r w:rsidRPr="00172623">
          <w:rPr>
            <w:rStyle w:val="Hyperlink"/>
          </w:rPr>
          <w:t>Hospital Discharge Day Management</w:t>
        </w:r>
      </w:hyperlink>
    </w:p>
    <w:p w14:paraId="768EDEFB"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0" w:history="1">
        <w:r w:rsidRPr="00172623">
          <w:rPr>
            <w:rStyle w:val="Hyperlink"/>
          </w:rPr>
          <w:t>243.140</w:t>
        </w:r>
        <w:r>
          <w:rPr>
            <w:rFonts w:asciiTheme="minorHAnsi" w:eastAsiaTheme="minorEastAsia" w:hAnsiTheme="minorHAnsi" w:cstheme="minorBidi"/>
            <w:kern w:val="2"/>
            <w:sz w:val="24"/>
            <w:szCs w:val="24"/>
            <w14:ligatures w14:val="standardContextual"/>
          </w:rPr>
          <w:tab/>
        </w:r>
        <w:r w:rsidRPr="00172623">
          <w:rPr>
            <w:rStyle w:val="Hyperlink"/>
          </w:rPr>
          <w:t>Billing Instructions for Balanced Lens for Aphakia</w:t>
        </w:r>
      </w:hyperlink>
    </w:p>
    <w:p w14:paraId="620D43E9"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1" w:history="1">
        <w:r w:rsidRPr="00172623">
          <w:rPr>
            <w:rStyle w:val="Hyperlink"/>
          </w:rPr>
          <w:t>243.150</w:t>
        </w:r>
        <w:r>
          <w:rPr>
            <w:rFonts w:asciiTheme="minorHAnsi" w:eastAsiaTheme="minorEastAsia" w:hAnsiTheme="minorHAnsi" w:cstheme="minorBidi"/>
            <w:kern w:val="2"/>
            <w:sz w:val="24"/>
            <w:szCs w:val="24"/>
            <w14:ligatures w14:val="standardContextual"/>
          </w:rPr>
          <w:tab/>
        </w:r>
        <w:r w:rsidRPr="00172623">
          <w:rPr>
            <w:rStyle w:val="Hyperlink"/>
          </w:rPr>
          <w:t>Office Medical Services</w:t>
        </w:r>
      </w:hyperlink>
    </w:p>
    <w:p w14:paraId="31F31DE2"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2" w:history="1">
        <w:r w:rsidRPr="00172623">
          <w:rPr>
            <w:rStyle w:val="Hyperlink"/>
          </w:rPr>
          <w:t>243.200</w:t>
        </w:r>
        <w:r>
          <w:rPr>
            <w:rFonts w:asciiTheme="minorHAnsi" w:eastAsiaTheme="minorEastAsia" w:hAnsiTheme="minorHAnsi" w:cstheme="minorBidi"/>
            <w:kern w:val="2"/>
            <w:sz w:val="24"/>
            <w:szCs w:val="24"/>
            <w14:ligatures w14:val="standardContextual"/>
          </w:rPr>
          <w:tab/>
        </w:r>
        <w:r w:rsidRPr="00172623">
          <w:rPr>
            <w:rStyle w:val="Hyperlink"/>
          </w:rPr>
          <w:t>National Place of Service</w:t>
        </w:r>
      </w:hyperlink>
    </w:p>
    <w:p w14:paraId="56CE3194"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3" w:history="1">
        <w:r w:rsidRPr="00172623">
          <w:rPr>
            <w:rStyle w:val="Hyperlink"/>
          </w:rPr>
          <w:t>243.300</w:t>
        </w:r>
        <w:r>
          <w:rPr>
            <w:rFonts w:asciiTheme="minorHAnsi" w:eastAsiaTheme="minorEastAsia" w:hAnsiTheme="minorHAnsi" w:cstheme="minorBidi"/>
            <w:kern w:val="2"/>
            <w:sz w:val="24"/>
            <w:szCs w:val="24"/>
            <w14:ligatures w14:val="standardContextual"/>
          </w:rPr>
          <w:tab/>
        </w:r>
        <w:r w:rsidRPr="00172623">
          <w:rPr>
            <w:rStyle w:val="Hyperlink"/>
          </w:rPr>
          <w:t>Billing Instructions – CMS-1500 – Paper Only</w:t>
        </w:r>
      </w:hyperlink>
    </w:p>
    <w:p w14:paraId="3F50E9BC"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4" w:history="1">
        <w:r w:rsidRPr="00172623">
          <w:rPr>
            <w:rStyle w:val="Hyperlink"/>
          </w:rPr>
          <w:t>243.310</w:t>
        </w:r>
        <w:r>
          <w:rPr>
            <w:rFonts w:asciiTheme="minorHAnsi" w:eastAsiaTheme="minorEastAsia" w:hAnsiTheme="minorHAnsi" w:cstheme="minorBidi"/>
            <w:kern w:val="2"/>
            <w:sz w:val="24"/>
            <w:szCs w:val="24"/>
            <w14:ligatures w14:val="standardContextual"/>
          </w:rPr>
          <w:tab/>
        </w:r>
        <w:r w:rsidRPr="00172623">
          <w:rPr>
            <w:rStyle w:val="Hyperlink"/>
          </w:rPr>
          <w:t>Completion of CMS-1500 Claim Form</w:t>
        </w:r>
      </w:hyperlink>
    </w:p>
    <w:p w14:paraId="1E23AB83" w14:textId="77777777" w:rsidR="00243977" w:rsidRDefault="00243977">
      <w:pPr>
        <w:pStyle w:val="TOC2"/>
        <w:rPr>
          <w:rFonts w:asciiTheme="minorHAnsi" w:eastAsiaTheme="minorEastAsia" w:hAnsiTheme="minorHAnsi" w:cstheme="minorBidi"/>
          <w:kern w:val="2"/>
          <w:sz w:val="24"/>
          <w:szCs w:val="24"/>
          <w14:ligatures w14:val="standardContextual"/>
        </w:rPr>
      </w:pPr>
      <w:hyperlink w:anchor="_Toc199331915" w:history="1">
        <w:r w:rsidRPr="00172623">
          <w:rPr>
            <w:rStyle w:val="Hyperlink"/>
          </w:rPr>
          <w:t>243.400</w:t>
        </w:r>
        <w:r>
          <w:rPr>
            <w:rFonts w:asciiTheme="minorHAnsi" w:eastAsiaTheme="minorEastAsia" w:hAnsiTheme="minorHAnsi" w:cstheme="minorBidi"/>
            <w:kern w:val="2"/>
            <w:sz w:val="24"/>
            <w:szCs w:val="24"/>
            <w14:ligatures w14:val="standardContextual"/>
          </w:rPr>
          <w:tab/>
        </w:r>
        <w:r w:rsidRPr="00172623">
          <w:rPr>
            <w:rStyle w:val="Hyperlink"/>
          </w:rPr>
          <w:t>Special Billing Procedures</w:t>
        </w:r>
      </w:hyperlink>
    </w:p>
    <w:p w14:paraId="760B6850" w14:textId="59778EBD" w:rsidR="00E16D61" w:rsidRPr="009D7A51" w:rsidRDefault="0085484F" w:rsidP="00CF1ED2">
      <w:pPr>
        <w:pStyle w:val="ctablespace"/>
      </w:pPr>
      <w:r w:rsidRPr="009D7A51">
        <w:fldChar w:fldCharType="end"/>
      </w:r>
      <w:bookmarkEnd w:id="1"/>
    </w:p>
    <w:tbl>
      <w:tblPr>
        <w:tblW w:w="9360" w:type="dxa"/>
        <w:tblLook w:val="0000" w:firstRow="0" w:lastRow="0" w:firstColumn="0" w:lastColumn="0" w:noHBand="0" w:noVBand="0"/>
      </w:tblPr>
      <w:tblGrid>
        <w:gridCol w:w="8122"/>
        <w:gridCol w:w="1238"/>
      </w:tblGrid>
      <w:tr w:rsidR="0085484F" w:rsidRPr="009D7A51" w14:paraId="4B09DBA0" w14:textId="77777777" w:rsidTr="0017242B">
        <w:tblPrEx>
          <w:tblCellMar>
            <w:top w:w="0" w:type="dxa"/>
            <w:bottom w:w="0" w:type="dxa"/>
          </w:tblCellMar>
        </w:tblPrEx>
        <w:trPr>
          <w:cantSplit/>
        </w:trPr>
        <w:tc>
          <w:tcPr>
            <w:tcW w:w="8122" w:type="dxa"/>
            <w:shd w:val="clear" w:color="auto" w:fill="1D73D6"/>
          </w:tcPr>
          <w:p w14:paraId="2EADB47B" w14:textId="77777777" w:rsidR="0085484F" w:rsidRPr="009D7A51" w:rsidRDefault="0085484F">
            <w:pPr>
              <w:pStyle w:val="chead1"/>
            </w:pPr>
            <w:bookmarkStart w:id="3" w:name="_Toc20534673"/>
            <w:bookmarkStart w:id="4" w:name="_Toc20534709"/>
            <w:bookmarkStart w:id="5" w:name="_Toc20537986"/>
            <w:bookmarkStart w:id="6" w:name="_Toc20534446"/>
            <w:bookmarkStart w:id="7" w:name="_Toc24252726"/>
            <w:bookmarkStart w:id="8" w:name="_Toc199331855"/>
            <w:bookmarkEnd w:id="0"/>
            <w:bookmarkEnd w:id="2"/>
            <w:r w:rsidRPr="009D7A51">
              <w:t>200.000</w:t>
            </w:r>
            <w:r w:rsidRPr="009D7A51">
              <w:tab/>
              <w:t>Visual Care GENERAL INFORMATION</w:t>
            </w:r>
            <w:bookmarkEnd w:id="3"/>
            <w:bookmarkEnd w:id="4"/>
            <w:bookmarkEnd w:id="5"/>
            <w:bookmarkEnd w:id="6"/>
            <w:bookmarkEnd w:id="7"/>
            <w:bookmarkEnd w:id="8"/>
          </w:p>
        </w:tc>
        <w:tc>
          <w:tcPr>
            <w:tcW w:w="1238" w:type="dxa"/>
            <w:shd w:val="clear" w:color="auto" w:fill="1D73D6"/>
            <w:vAlign w:val="center"/>
          </w:tcPr>
          <w:p w14:paraId="58F1B06B" w14:textId="77777777" w:rsidR="0085484F" w:rsidRPr="009D7A51" w:rsidRDefault="0085484F">
            <w:pPr>
              <w:pStyle w:val="cDate1"/>
              <w:rPr>
                <w:bCs/>
              </w:rPr>
            </w:pPr>
          </w:p>
        </w:tc>
      </w:tr>
      <w:tr w:rsidR="00CD4ED6" w:rsidRPr="009D7A51" w14:paraId="3677D149" w14:textId="77777777" w:rsidTr="0017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543B7266" w14:textId="77777777" w:rsidR="00CD4ED6" w:rsidRPr="009D7A51" w:rsidRDefault="00CD4ED6" w:rsidP="00914EAB">
            <w:pPr>
              <w:pStyle w:val="chead2"/>
            </w:pPr>
            <w:bookmarkStart w:id="9" w:name="_Toc24252729"/>
            <w:bookmarkStart w:id="10" w:name="_Toc138131541"/>
            <w:bookmarkStart w:id="11" w:name="_Toc199331856"/>
            <w:r w:rsidRPr="009D7A51">
              <w:t>201.000</w:t>
            </w:r>
            <w:r w:rsidRPr="009D7A51">
              <w:tab/>
            </w:r>
            <w:smartTag w:uri="urn:schemas-microsoft-com:office:smarttags" w:element="State">
              <w:smartTag w:uri="urn:schemas-microsoft-com:office:smarttags" w:element="place">
                <w:r w:rsidRPr="009D7A51">
                  <w:t>Arkansas</w:t>
                </w:r>
              </w:smartTag>
            </w:smartTag>
            <w:r w:rsidRPr="009D7A51">
              <w:t xml:space="preserve"> Medicaid Participation Requirements for Visual Care Providers</w:t>
            </w:r>
            <w:bookmarkEnd w:id="10"/>
            <w:bookmarkEnd w:id="11"/>
          </w:p>
        </w:tc>
        <w:tc>
          <w:tcPr>
            <w:tcW w:w="1238" w:type="dxa"/>
            <w:tcBorders>
              <w:top w:val="nil"/>
              <w:left w:val="single" w:sz="6" w:space="0" w:color="FFFFFF"/>
              <w:bottom w:val="single" w:sz="2" w:space="0" w:color="FFFFFF"/>
              <w:right w:val="single" w:sz="2" w:space="0" w:color="FFFFFF"/>
            </w:tcBorders>
          </w:tcPr>
          <w:p w14:paraId="07A094C4" w14:textId="77777777" w:rsidR="00CD4ED6" w:rsidRPr="009D7A51" w:rsidRDefault="00CD4ED6" w:rsidP="00914EAB">
            <w:pPr>
              <w:pStyle w:val="cDate2"/>
            </w:pPr>
            <w:r w:rsidRPr="009D7A51">
              <w:t>12-1-06</w:t>
            </w:r>
          </w:p>
        </w:tc>
      </w:tr>
    </w:tbl>
    <w:p w14:paraId="2DA4AC32" w14:textId="77777777" w:rsidR="00CD4ED6" w:rsidRPr="009D7A51" w:rsidRDefault="00CD4ED6" w:rsidP="00CD4ED6">
      <w:pPr>
        <w:pStyle w:val="ctext"/>
      </w:pPr>
      <w:r w:rsidRPr="009D7A51">
        <w:t>Visual Care Services Program providers must meet the Provider Participation and enrollment requirements contained within Section 140.000 of this manual as well as the following criteria to be eligible to participate in the Arkansas Medicaid Program:</w:t>
      </w:r>
    </w:p>
    <w:p w14:paraId="216EC95E" w14:textId="77777777" w:rsidR="00CD4ED6" w:rsidRPr="009D7A51" w:rsidRDefault="00CD4ED6" w:rsidP="00CD4ED6">
      <w:pPr>
        <w:pStyle w:val="CLETTERED"/>
      </w:pPr>
      <w:proofErr w:type="gramStart"/>
      <w:r w:rsidRPr="009D7A51">
        <w:t>A.</w:t>
      </w:r>
      <w:r w:rsidRPr="009D7A51">
        <w:tab/>
        <w:t>Provider must be licensed by the State Board of Optometry</w:t>
      </w:r>
      <w:proofErr w:type="gramEnd"/>
      <w:r w:rsidRPr="009D7A51">
        <w:t xml:space="preserve"> to practice in his or her state.  A current copy of the optometrist’s license must be submitted with the provider application for participation.</w:t>
      </w:r>
    </w:p>
    <w:p w14:paraId="322FCE67" w14:textId="77777777" w:rsidR="00CD4ED6" w:rsidRPr="009D7A51" w:rsidRDefault="00CD4ED6" w:rsidP="00CD4ED6">
      <w:pPr>
        <w:pStyle w:val="CLETTERED"/>
      </w:pPr>
      <w:r w:rsidRPr="009D7A51">
        <w:t>B.</w:t>
      </w:r>
      <w:r w:rsidRPr="009D7A51">
        <w:tab/>
        <w:t>Provider must be enrolled in the Title XVIII (Medicare)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B30F8" w:rsidRPr="009D7A51" w14:paraId="6E845444" w14:textId="77777777" w:rsidTr="003F7C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F0E022F" w14:textId="77777777" w:rsidR="002B30F8" w:rsidRPr="009D7A51" w:rsidRDefault="002B30F8" w:rsidP="002B30F8">
            <w:pPr>
              <w:pStyle w:val="chead2"/>
            </w:pPr>
            <w:bookmarkStart w:id="12" w:name="_Toc121621897"/>
            <w:bookmarkStart w:id="13" w:name="_Toc199331857"/>
            <w:r w:rsidRPr="009D7A51">
              <w:t>201.100</w:t>
            </w:r>
            <w:r w:rsidRPr="009D7A51">
              <w:tab/>
              <w:t>Group Providers of Visual Care Services</w:t>
            </w:r>
            <w:bookmarkEnd w:id="12"/>
            <w:bookmarkEnd w:id="13"/>
          </w:p>
        </w:tc>
        <w:tc>
          <w:tcPr>
            <w:tcW w:w="1238" w:type="dxa"/>
            <w:tcBorders>
              <w:top w:val="single" w:sz="2" w:space="0" w:color="FFFFFF"/>
              <w:left w:val="single" w:sz="6" w:space="0" w:color="FFFFFF"/>
              <w:bottom w:val="single" w:sz="2" w:space="0" w:color="FFFFFF"/>
              <w:right w:val="single" w:sz="2" w:space="0" w:color="FFFFFF"/>
            </w:tcBorders>
          </w:tcPr>
          <w:p w14:paraId="0776AAD5" w14:textId="77777777" w:rsidR="002B30F8" w:rsidRPr="009D7A51" w:rsidRDefault="002B30F8" w:rsidP="002B30F8">
            <w:pPr>
              <w:pStyle w:val="cDate2"/>
            </w:pPr>
            <w:r w:rsidRPr="009D7A51">
              <w:t>3-1-06</w:t>
            </w:r>
          </w:p>
        </w:tc>
      </w:tr>
    </w:tbl>
    <w:p w14:paraId="65A198F5" w14:textId="77777777" w:rsidR="002B30F8" w:rsidRPr="009D7A51" w:rsidRDefault="002B30F8" w:rsidP="003F7CE0">
      <w:pPr>
        <w:pStyle w:val="ctext"/>
      </w:pPr>
      <w:r w:rsidRPr="009D7A51">
        <w:t xml:space="preserve">Group providers of visual care services must meet the following criteria </w:t>
      </w:r>
      <w:proofErr w:type="gramStart"/>
      <w:r w:rsidRPr="009D7A51">
        <w:t>in order to</w:t>
      </w:r>
      <w:proofErr w:type="gramEnd"/>
      <w:r w:rsidRPr="009D7A51">
        <w:t xml:space="preserve"> be eligible for participation in the Arkansas Medicaid Program.</w:t>
      </w:r>
    </w:p>
    <w:p w14:paraId="0375CA58" w14:textId="77777777" w:rsidR="002B30F8" w:rsidRPr="009D7A51" w:rsidRDefault="002B30F8" w:rsidP="003F7CE0">
      <w:pPr>
        <w:pStyle w:val="ctext"/>
      </w:pPr>
      <w:r w:rsidRPr="009D7A51">
        <w:t xml:space="preserve">If an optometrist is a member of a group, each individual optometrist and the group must </w:t>
      </w:r>
      <w:r w:rsidRPr="009D7A51">
        <w:rPr>
          <w:u w:val="single"/>
        </w:rPr>
        <w:t>both</w:t>
      </w:r>
      <w:r w:rsidRPr="009D7A51">
        <w:t xml:space="preserve"> enroll according to the following criteria: </w:t>
      </w:r>
    </w:p>
    <w:p w14:paraId="58E0558E" w14:textId="77777777" w:rsidR="002B30F8" w:rsidRPr="009D7A51" w:rsidRDefault="002B30F8" w:rsidP="003F7CE0">
      <w:pPr>
        <w:pStyle w:val="CLETTERED"/>
      </w:pPr>
      <w:r w:rsidRPr="009D7A51">
        <w:t>A.</w:t>
      </w:r>
      <w:r w:rsidRPr="009D7A51">
        <w:tab/>
        <w:t>Each individual optometrist within the group must enroll following the criteria established in Section 201.000.</w:t>
      </w:r>
    </w:p>
    <w:p w14:paraId="313EFC48" w14:textId="77777777" w:rsidR="002B30F8" w:rsidRPr="009D7A51" w:rsidRDefault="002B30F8" w:rsidP="002B30F8">
      <w:pPr>
        <w:pStyle w:val="CLETTERED"/>
      </w:pPr>
      <w:r w:rsidRPr="009D7A51">
        <w:t>B.</w:t>
      </w:r>
      <w:r w:rsidRPr="009D7A51">
        <w:tab/>
        <w:t xml:space="preserve">All group providers are “pay to” providers </w:t>
      </w:r>
      <w:r w:rsidRPr="009D7A51">
        <w:rPr>
          <w:u w:val="single"/>
        </w:rPr>
        <w:t>only</w:t>
      </w:r>
      <w:r w:rsidRPr="009D7A51">
        <w:t>.  The service must be performed and billed by a licensed and enrolled optometrist within the group.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7780C" w:rsidRPr="009D7A51" w14:paraId="13B2BF1B" w14:textId="77777777" w:rsidTr="00F8188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8612BE0" w14:textId="77777777" w:rsidR="00F7780C" w:rsidRPr="009D7A51" w:rsidRDefault="00F7780C" w:rsidP="00F7780C">
            <w:pPr>
              <w:pStyle w:val="chead2"/>
            </w:pPr>
            <w:bookmarkStart w:id="14" w:name="_Toc199331858"/>
            <w:r w:rsidRPr="009D7A51">
              <w:t>201.110</w:t>
            </w:r>
            <w:r w:rsidRPr="009D7A51">
              <w:tab/>
              <w:t>Visual Care Providers in Arkansas and Bordering States</w:t>
            </w:r>
            <w:bookmarkEnd w:id="14"/>
          </w:p>
        </w:tc>
        <w:tc>
          <w:tcPr>
            <w:tcW w:w="1238" w:type="dxa"/>
            <w:tcBorders>
              <w:top w:val="single" w:sz="2" w:space="0" w:color="FFFFFF"/>
              <w:left w:val="single" w:sz="6" w:space="0" w:color="FFFFFF"/>
              <w:bottom w:val="single" w:sz="2" w:space="0" w:color="FFFFFF"/>
              <w:right w:val="single" w:sz="2" w:space="0" w:color="FFFFFF"/>
            </w:tcBorders>
          </w:tcPr>
          <w:p w14:paraId="22DD026C" w14:textId="77777777" w:rsidR="00F7780C" w:rsidRPr="009D7A51" w:rsidRDefault="00F7780C" w:rsidP="00F7780C">
            <w:pPr>
              <w:pStyle w:val="cDate2"/>
            </w:pPr>
            <w:r w:rsidRPr="009D7A51">
              <w:t>9-1-14</w:t>
            </w:r>
          </w:p>
        </w:tc>
      </w:tr>
    </w:tbl>
    <w:p w14:paraId="4B5A286E" w14:textId="77777777" w:rsidR="00F7780C" w:rsidRPr="009D7A51" w:rsidRDefault="00F7780C" w:rsidP="00F8188E">
      <w:pPr>
        <w:pStyle w:val="ctext"/>
      </w:pPr>
      <w:r w:rsidRPr="009D7A51">
        <w:t xml:space="preserve">Visual Care Program providers in </w:t>
      </w:r>
      <w:smartTag w:uri="urn:schemas-microsoft-com:office:smarttags" w:element="State">
        <w:r w:rsidRPr="009D7A51">
          <w:t>Arkansas</w:t>
        </w:r>
      </w:smartTag>
      <w:r w:rsidRPr="009D7A51">
        <w:t xml:space="preserve"> and the bordering states of </w:t>
      </w:r>
      <w:smartTag w:uri="urn:schemas-microsoft-com:office:smarttags" w:element="State">
        <w:r w:rsidRPr="009D7A51">
          <w:t>Louisiana</w:t>
        </w:r>
      </w:smartTag>
      <w:r w:rsidRPr="009D7A51">
        <w:t xml:space="preserve">, </w:t>
      </w:r>
      <w:smartTag w:uri="urn:schemas-microsoft-com:office:smarttags" w:element="State">
        <w:r w:rsidRPr="009D7A51">
          <w:t>Mississippi</w:t>
        </w:r>
      </w:smartTag>
      <w:r w:rsidRPr="009D7A51">
        <w:t xml:space="preserve">, </w:t>
      </w:r>
      <w:smartTag w:uri="urn:schemas-microsoft-com:office:smarttags" w:element="State">
        <w:r w:rsidRPr="009D7A51">
          <w:t>Missouri</w:t>
        </w:r>
      </w:smartTag>
      <w:r w:rsidRPr="009D7A51">
        <w:t xml:space="preserve">, </w:t>
      </w:r>
      <w:smartTag w:uri="urn:schemas-microsoft-com:office:smarttags" w:element="State">
        <w:r w:rsidRPr="009D7A51">
          <w:t>Oklahoma</w:t>
        </w:r>
      </w:smartTag>
      <w:r w:rsidRPr="009D7A51">
        <w:t xml:space="preserve">, </w:t>
      </w:r>
      <w:proofErr w:type="gramStart"/>
      <w:smartTag w:uri="urn:schemas-microsoft-com:office:smarttags" w:element="State">
        <w:r w:rsidRPr="009D7A51">
          <w:t>Tennessee</w:t>
        </w:r>
      </w:smartTag>
      <w:proofErr w:type="gramEnd"/>
      <w:r w:rsidRPr="009D7A51">
        <w:t xml:space="preserve"> and </w:t>
      </w:r>
      <w:smartTag w:uri="urn:schemas-microsoft-com:office:smarttags" w:element="State">
        <w:smartTag w:uri="urn:schemas-microsoft-com:office:smarttags" w:element="place">
          <w:r w:rsidRPr="009D7A51">
            <w:t>Texas</w:t>
          </w:r>
        </w:smartTag>
      </w:smartTag>
      <w:r w:rsidRPr="009D7A51">
        <w:t xml:space="preserve"> will be enrolled as routine services providers.</w:t>
      </w:r>
    </w:p>
    <w:p w14:paraId="5CCDD196" w14:textId="77777777" w:rsidR="00F7780C" w:rsidRPr="009D7A51" w:rsidRDefault="00F7780C" w:rsidP="00F8188E">
      <w:pPr>
        <w:pStyle w:val="ctext"/>
        <w:rPr>
          <w:u w:val="single"/>
        </w:rPr>
      </w:pPr>
      <w:r w:rsidRPr="009D7A51">
        <w:rPr>
          <w:u w:val="single"/>
        </w:rPr>
        <w:t>Routine Services Providers</w:t>
      </w:r>
    </w:p>
    <w:p w14:paraId="5EEE4839" w14:textId="77777777" w:rsidR="00F7780C" w:rsidRPr="009D7A51" w:rsidRDefault="00F7780C" w:rsidP="00F8188E">
      <w:pPr>
        <w:pStyle w:val="CLETTERED"/>
      </w:pPr>
      <w:r w:rsidRPr="009D7A51">
        <w:t>A.</w:t>
      </w:r>
      <w:r w:rsidRPr="009D7A51">
        <w:tab/>
        <w:t>Provider will be enrolled in the program as a regular provider of routine services.</w:t>
      </w:r>
    </w:p>
    <w:p w14:paraId="76559FA6" w14:textId="77777777" w:rsidR="00F7780C" w:rsidRPr="009D7A51" w:rsidRDefault="00F7780C" w:rsidP="00F8188E">
      <w:pPr>
        <w:pStyle w:val="CLETTERED"/>
      </w:pPr>
      <w:r w:rsidRPr="009D7A51">
        <w:t>B.</w:t>
      </w:r>
      <w:r w:rsidRPr="009D7A51">
        <w:tab/>
        <w:t>Reimbursement will be available for all visual care services covered in the Arkansas Medicaid Program.</w:t>
      </w:r>
    </w:p>
    <w:p w14:paraId="4DDAA78D" w14:textId="77777777" w:rsidR="00F7780C" w:rsidRPr="009D7A51" w:rsidRDefault="00F7780C" w:rsidP="00F7780C">
      <w:pPr>
        <w:pStyle w:val="CLETTERED"/>
      </w:pPr>
      <w:r w:rsidRPr="009D7A51">
        <w:t>C.</w:t>
      </w:r>
      <w:r w:rsidRPr="009D7A51">
        <w:tab/>
        <w:t>Claims must be filed according to Section 240.000 of this manual.  This includes assignment of ICD and HCPCS codes for all services rendered.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BD5EDD" w:rsidRPr="009D7A51" w14:paraId="27B551FB" w14:textId="77777777" w:rsidTr="00756BD1">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85ABCFD" w14:textId="77777777" w:rsidR="00BD5EDD" w:rsidRPr="009D7A51" w:rsidRDefault="00BD5EDD" w:rsidP="00BD5EDD">
            <w:pPr>
              <w:pStyle w:val="chead2"/>
            </w:pPr>
            <w:bookmarkStart w:id="15" w:name="_Toc24252728"/>
            <w:bookmarkStart w:id="16" w:name="_Toc267399405"/>
            <w:bookmarkStart w:id="17" w:name="_Toc199331859"/>
            <w:r w:rsidRPr="009D7A51">
              <w:t>201.120</w:t>
            </w:r>
            <w:r w:rsidRPr="009D7A51">
              <w:tab/>
              <w:t>Visual Care Providers in States Not Bordering Arkansas</w:t>
            </w:r>
            <w:bookmarkEnd w:id="16"/>
            <w:bookmarkEnd w:id="17"/>
          </w:p>
        </w:tc>
        <w:tc>
          <w:tcPr>
            <w:tcW w:w="1238" w:type="dxa"/>
            <w:tcBorders>
              <w:top w:val="single" w:sz="2" w:space="0" w:color="FFFFFF"/>
              <w:left w:val="single" w:sz="6" w:space="0" w:color="FFFFFF"/>
              <w:bottom w:val="single" w:sz="2" w:space="0" w:color="FFFFFF"/>
              <w:right w:val="single" w:sz="2" w:space="0" w:color="FFFFFF"/>
            </w:tcBorders>
            <w:hideMark/>
          </w:tcPr>
          <w:p w14:paraId="2C111DEA" w14:textId="77777777" w:rsidR="00BD5EDD" w:rsidRPr="009D7A51" w:rsidRDefault="00BD5EDD" w:rsidP="00BD5EDD">
            <w:pPr>
              <w:pStyle w:val="cDate2"/>
            </w:pPr>
            <w:r w:rsidRPr="009D7A51">
              <w:t>3-1-11</w:t>
            </w:r>
          </w:p>
        </w:tc>
      </w:tr>
    </w:tbl>
    <w:p w14:paraId="7216D7F5" w14:textId="77777777" w:rsidR="00BD5EDD" w:rsidRPr="009D7A51" w:rsidRDefault="00BD5EDD" w:rsidP="00756BD1">
      <w:pPr>
        <w:pStyle w:val="CLETTERED"/>
        <w:rPr>
          <w:b/>
        </w:rPr>
      </w:pPr>
      <w:r w:rsidRPr="009D7A51">
        <w:lastRenderedPageBreak/>
        <w:t>A.</w:t>
      </w:r>
      <w:r w:rsidRPr="009D7A51">
        <w:tab/>
        <w:t>Providers in states not bordering Arkansas may enroll in the Arkansas Medicaid program as limited services providers only after they have provided services to an Arkansas Medicaid beneficiary and have a claim or claims to file with Arkansas Medicaid.</w:t>
      </w:r>
    </w:p>
    <w:p w14:paraId="7167C0AC" w14:textId="4AE683C9" w:rsidR="00BD5EDD" w:rsidRPr="009D7A51" w:rsidRDefault="00BD5EDD" w:rsidP="00756BD1">
      <w:pPr>
        <w:pStyle w:val="CLETTERED"/>
        <w:ind w:left="907" w:firstLine="0"/>
      </w:pPr>
      <w:r w:rsidRPr="009D7A51">
        <w:t xml:space="preserve">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the Medicaid contract.  </w:t>
      </w:r>
      <w:hyperlink r:id="rId10" w:history="1">
        <w:r w:rsidRPr="009D7A51">
          <w:rPr>
            <w:rStyle w:val="Hyperlink"/>
          </w:rPr>
          <w:t>View or print the provider enrollment and contract package (Application Packet).</w:t>
        </w:r>
      </w:hyperlink>
      <w:r w:rsidRPr="009D7A51">
        <w:t xml:space="preserve">  </w:t>
      </w:r>
      <w:hyperlink r:id="rId11" w:history="1">
        <w:r w:rsidRPr="009D7A51">
          <w:rPr>
            <w:rStyle w:val="Hyperlink"/>
          </w:rPr>
          <w:t>View or print Provider Enrollment Unit contact information.</w:t>
        </w:r>
      </w:hyperlink>
    </w:p>
    <w:p w14:paraId="34576B44" w14:textId="77777777" w:rsidR="00BD5EDD" w:rsidRPr="009D7A51" w:rsidRDefault="00BD5EDD" w:rsidP="00756BD1">
      <w:pPr>
        <w:pStyle w:val="CLETTERED"/>
      </w:pPr>
      <w:r w:rsidRPr="009D7A51">
        <w:t>B.</w:t>
      </w:r>
      <w:r w:rsidRPr="009D7A51">
        <w:tab/>
        <w:t>Limited services providers remain enrolled for one year.</w:t>
      </w:r>
    </w:p>
    <w:p w14:paraId="18BACF05" w14:textId="77777777" w:rsidR="00BD5EDD" w:rsidRPr="009D7A51" w:rsidRDefault="00BD5EDD" w:rsidP="00756BD1">
      <w:pPr>
        <w:pStyle w:val="cnumbered"/>
      </w:pPr>
      <w:r w:rsidRPr="009D7A51">
        <w:t>1.</w:t>
      </w:r>
      <w:r w:rsidRPr="009D7A51">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51A4B8F3" w14:textId="77777777" w:rsidR="00BD5EDD" w:rsidRPr="009D7A51" w:rsidRDefault="00BD5EDD" w:rsidP="00756BD1">
      <w:pPr>
        <w:pStyle w:val="cnumbered"/>
      </w:pPr>
      <w:r w:rsidRPr="009D7A51">
        <w:t>2.</w:t>
      </w:r>
      <w:r w:rsidRPr="009D7A51">
        <w:tab/>
        <w:t>During the enrollment period, the provider may file any subsequent claims directly to the Medicaid fiscal agent.</w:t>
      </w:r>
    </w:p>
    <w:p w14:paraId="37581CB7" w14:textId="77777777" w:rsidR="00BD5EDD" w:rsidRPr="009D7A51" w:rsidRDefault="00BD5EDD" w:rsidP="00BD5EDD">
      <w:pPr>
        <w:pStyle w:val="cnumbered"/>
      </w:pPr>
      <w:r w:rsidRPr="009D7A51">
        <w:t>3.</w:t>
      </w:r>
      <w:r w:rsidRPr="009D7A51">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F00B6" w:rsidRPr="009D7A51" w14:paraId="6FF9B9C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A527B89" w14:textId="77777777" w:rsidR="005F00B6" w:rsidRPr="009D7A51" w:rsidRDefault="005F00B6" w:rsidP="006D2380">
            <w:pPr>
              <w:pStyle w:val="chead2"/>
            </w:pPr>
            <w:bookmarkStart w:id="18" w:name="_Toc138131543"/>
            <w:bookmarkStart w:id="19" w:name="_Toc199331860"/>
            <w:r w:rsidRPr="009D7A51">
              <w:t>201.200</w:t>
            </w:r>
            <w:r w:rsidRPr="009D7A51">
              <w:tab/>
              <w:t>Services to Beneficiaries with Refraction</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595A158D" w14:textId="77777777" w:rsidR="005F00B6" w:rsidRPr="009D7A51" w:rsidRDefault="005F00B6" w:rsidP="006D2380">
            <w:pPr>
              <w:pStyle w:val="cDate2"/>
            </w:pPr>
            <w:smartTag w:uri="urn:schemas-microsoft-com:office:smarttags" w:element="date">
              <w:smartTagPr>
                <w:attr w:name="Month" w:val="12"/>
                <w:attr w:name="Day" w:val="1"/>
                <w:attr w:name="Year" w:val="2006"/>
              </w:smartTagPr>
              <w:r w:rsidRPr="009D7A51">
                <w:t>12-1-06</w:t>
              </w:r>
            </w:smartTag>
          </w:p>
        </w:tc>
      </w:tr>
    </w:tbl>
    <w:p w14:paraId="5A5A1024" w14:textId="77777777" w:rsidR="005F00B6" w:rsidRPr="009D7A51" w:rsidRDefault="005F00B6" w:rsidP="005F00B6">
      <w:pPr>
        <w:pStyle w:val="ctext"/>
      </w:pPr>
      <w:r w:rsidRPr="009D7A51">
        <w:t>Visual care providers who accept a Medicaid beneficiary for an eye examination with refraction must follow these guidelines:</w:t>
      </w:r>
    </w:p>
    <w:p w14:paraId="4C2A1C1B" w14:textId="77777777" w:rsidR="005F00B6" w:rsidRPr="009D7A51" w:rsidRDefault="005F00B6" w:rsidP="005F00B6">
      <w:pPr>
        <w:pStyle w:val="CLETTERED"/>
      </w:pPr>
      <w:r w:rsidRPr="009D7A51">
        <w:t>A.</w:t>
      </w:r>
      <w:r w:rsidRPr="009D7A51">
        <w:tab/>
        <w:t>The provider will advise the beneficiary, prior to performing the exam, that he or she will not provide the glasses.</w:t>
      </w:r>
    </w:p>
    <w:p w14:paraId="06850849" w14:textId="77777777" w:rsidR="005F00B6" w:rsidRPr="009D7A51" w:rsidRDefault="005F00B6" w:rsidP="005F00B6">
      <w:pPr>
        <w:pStyle w:val="CLETTERED"/>
      </w:pPr>
      <w:r w:rsidRPr="009D7A51">
        <w:t>B.</w:t>
      </w:r>
      <w:r w:rsidRPr="009D7A51">
        <w:tab/>
        <w:t>The beneficiary will be given the choice to select a provider who will provide both services.</w:t>
      </w:r>
    </w:p>
    <w:p w14:paraId="389B8F25" w14:textId="77777777" w:rsidR="005F00B6" w:rsidRPr="009D7A51" w:rsidRDefault="005F00B6" w:rsidP="005F00B6">
      <w:pPr>
        <w:pStyle w:val="CLETTERED"/>
      </w:pPr>
      <w:r w:rsidRPr="009D7A51">
        <w:t>C.</w:t>
      </w:r>
      <w:r w:rsidRPr="009D7A51">
        <w:tab/>
        <w:t>If the beneficiary elects to have the examination, a written prescription for the glasses will be given or offered to the beneficiary post-examination.</w:t>
      </w:r>
    </w:p>
    <w:p w14:paraId="42CF41E1" w14:textId="77777777" w:rsidR="005F00B6" w:rsidRPr="009D7A51" w:rsidRDefault="005F00B6" w:rsidP="005F00B6">
      <w:pPr>
        <w:pStyle w:val="CLETTERED"/>
      </w:pPr>
      <w:r w:rsidRPr="009D7A51">
        <w:t>D.</w:t>
      </w:r>
      <w:r w:rsidRPr="009D7A51">
        <w:tab/>
        <w:t>The prescriber cannot withhold the prescription pending Medicaid payment for the refraction.</w:t>
      </w:r>
    </w:p>
    <w:p w14:paraId="241F1A80" w14:textId="77777777" w:rsidR="005F00B6" w:rsidRPr="009D7A51" w:rsidRDefault="005F00B6" w:rsidP="005F00B6">
      <w:pPr>
        <w:pStyle w:val="CLETTERED"/>
      </w:pPr>
      <w:r w:rsidRPr="009D7A51">
        <w:t>E.</w:t>
      </w:r>
      <w:r w:rsidRPr="009D7A51">
        <w:tab/>
        <w:t>If the beneficiary is not satisfied with the frame selection or services provided, the provider will offer the beneficiary “freedom of choice” and give the beneficiary the prescription for glasses.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66B6A" w:rsidRPr="009D7A51" w14:paraId="4744CE26" w14:textId="77777777" w:rsidTr="00954EE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8485818" w14:textId="77777777" w:rsidR="00B66B6A" w:rsidRPr="009D7A51" w:rsidRDefault="00B66B6A" w:rsidP="00954EED">
            <w:pPr>
              <w:pStyle w:val="chead2"/>
            </w:pPr>
            <w:bookmarkStart w:id="20" w:name="_Toc138131545"/>
            <w:bookmarkStart w:id="21" w:name="_Toc138131544"/>
            <w:bookmarkStart w:id="22" w:name="_Toc199331861"/>
            <w:r w:rsidRPr="009D7A51">
              <w:t>202.000</w:t>
            </w:r>
            <w:r w:rsidRPr="009D7A51">
              <w:tab/>
              <w:t>Visual Care Records Providers Are Required to Keep</w:t>
            </w:r>
            <w:bookmarkEnd w:id="21"/>
            <w:bookmarkEnd w:id="22"/>
            <w:r w:rsidRPr="009D7A5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A688861" w14:textId="77777777" w:rsidR="00B66B6A" w:rsidRPr="009D7A51" w:rsidRDefault="00B66B6A" w:rsidP="00954EED">
            <w:pPr>
              <w:pStyle w:val="cDate2"/>
            </w:pPr>
            <w:r w:rsidRPr="009D7A51">
              <w:t>1-1-16</w:t>
            </w:r>
          </w:p>
        </w:tc>
      </w:tr>
    </w:tbl>
    <w:p w14:paraId="35A56AA3" w14:textId="77777777" w:rsidR="00B66B6A" w:rsidRPr="009D7A51" w:rsidRDefault="00B66B6A" w:rsidP="00B66B6A">
      <w:pPr>
        <w:pStyle w:val="ctext"/>
      </w:pPr>
      <w:r w:rsidRPr="009D7A51">
        <w:t>Visual care providers are required to keep the following records and, upon request, must immediately furnish the records to authorized representatives of the Division of Medical Services, the state Medicaid Fraud Control Unit, representatives of the Department of Human Services and the Centers for Medicare and Medicaid Services:</w:t>
      </w:r>
    </w:p>
    <w:p w14:paraId="25F8B919" w14:textId="77777777" w:rsidR="00B66B6A" w:rsidRPr="009D7A51" w:rsidRDefault="00B66B6A" w:rsidP="00B66B6A">
      <w:pPr>
        <w:pStyle w:val="CLETTERED"/>
      </w:pPr>
      <w:r w:rsidRPr="009D7A51">
        <w:t>A.</w:t>
      </w:r>
      <w:r w:rsidRPr="009D7A51">
        <w:tab/>
        <w:t>History and visual care examination on initial visit.</w:t>
      </w:r>
    </w:p>
    <w:p w14:paraId="51E1AB4E" w14:textId="77777777" w:rsidR="00B66B6A" w:rsidRPr="009D7A51" w:rsidRDefault="00B66B6A" w:rsidP="00B66B6A">
      <w:pPr>
        <w:pStyle w:val="CLETTERED"/>
      </w:pPr>
      <w:r w:rsidRPr="009D7A51">
        <w:t>B.</w:t>
      </w:r>
      <w:r w:rsidRPr="009D7A51">
        <w:tab/>
        <w:t>Chief complaint on each visit.</w:t>
      </w:r>
    </w:p>
    <w:p w14:paraId="5975A427" w14:textId="77777777" w:rsidR="00B66B6A" w:rsidRPr="009D7A51" w:rsidRDefault="00B66B6A" w:rsidP="00B66B6A">
      <w:pPr>
        <w:pStyle w:val="CLETTERED"/>
      </w:pPr>
      <w:r w:rsidRPr="009D7A51">
        <w:t>C.</w:t>
      </w:r>
      <w:r w:rsidRPr="009D7A51">
        <w:tab/>
        <w:t>Tests and results.</w:t>
      </w:r>
    </w:p>
    <w:p w14:paraId="11275DB0" w14:textId="77777777" w:rsidR="00B66B6A" w:rsidRPr="009D7A51" w:rsidRDefault="00B66B6A" w:rsidP="00B66B6A">
      <w:pPr>
        <w:pStyle w:val="CLETTERED"/>
      </w:pPr>
      <w:r w:rsidRPr="009D7A51">
        <w:t>D.</w:t>
      </w:r>
      <w:r w:rsidRPr="009D7A51">
        <w:tab/>
        <w:t>Diagnosis.</w:t>
      </w:r>
    </w:p>
    <w:p w14:paraId="2E41E388" w14:textId="77777777" w:rsidR="00B66B6A" w:rsidRPr="009D7A51" w:rsidRDefault="00B66B6A" w:rsidP="00B66B6A">
      <w:pPr>
        <w:pStyle w:val="CLETTERED"/>
      </w:pPr>
      <w:r w:rsidRPr="009D7A51">
        <w:t>E.</w:t>
      </w:r>
      <w:r w:rsidRPr="009D7A51">
        <w:tab/>
        <w:t>Treatment, including prescriptions.</w:t>
      </w:r>
    </w:p>
    <w:p w14:paraId="30C2B3E5" w14:textId="77777777" w:rsidR="00B66B6A" w:rsidRPr="009D7A51" w:rsidRDefault="00B66B6A" w:rsidP="00B66B6A">
      <w:pPr>
        <w:pStyle w:val="CLETTERED"/>
      </w:pPr>
      <w:r w:rsidRPr="009D7A51">
        <w:lastRenderedPageBreak/>
        <w:t>F.</w:t>
      </w:r>
      <w:r w:rsidRPr="009D7A51">
        <w:tab/>
        <w:t>Signature or initials of visual care provider after each visit.</w:t>
      </w:r>
    </w:p>
    <w:p w14:paraId="387C29B7" w14:textId="77777777" w:rsidR="00B66B6A" w:rsidRPr="009D7A51" w:rsidRDefault="00B66B6A" w:rsidP="00B66B6A">
      <w:pPr>
        <w:pStyle w:val="CLETTERED"/>
      </w:pPr>
      <w:r w:rsidRPr="009D7A51">
        <w:t>G.</w:t>
      </w:r>
      <w:r w:rsidRPr="009D7A51">
        <w:tab/>
        <w:t>Copies of hospital and/or emergency room records that are available to disclose services.</w:t>
      </w:r>
    </w:p>
    <w:p w14:paraId="0E591CF0" w14:textId="77777777" w:rsidR="00B66B6A" w:rsidRPr="009D7A51" w:rsidRDefault="00B66B6A" w:rsidP="00B66B6A">
      <w:pPr>
        <w:pStyle w:val="cnumbered"/>
      </w:pPr>
      <w:r w:rsidRPr="009D7A51">
        <w:t>1.</w:t>
      </w:r>
      <w:r w:rsidRPr="009D7A51">
        <w:tab/>
        <w:t>All records must be kept for five (5) years from the ending date of service or until all audit questions, appeal hearings, investigations or court cases are resolved, whichever is longer. Failure to furnish these records upon request may result in sanctions being imposed.</w:t>
      </w:r>
    </w:p>
    <w:p w14:paraId="0BB7D34C" w14:textId="77777777" w:rsidR="00B66B6A" w:rsidRPr="009D7A51" w:rsidRDefault="00B66B6A" w:rsidP="00B66B6A">
      <w:pPr>
        <w:pStyle w:val="cnumbered"/>
        <w:tabs>
          <w:tab w:val="num" w:pos="1440"/>
        </w:tabs>
      </w:pPr>
      <w:r w:rsidRPr="009D7A51">
        <w:t>2.</w:t>
      </w:r>
      <w:r w:rsidRPr="009D7A51">
        <w:tab/>
        <w:t>All documentation must be immediately made available to representatives of the Division of Medical Services at the time of an audit by the Office of Medicaid Inspector General.  All documentation must be available at the provider’s place of business.  When a recoupment is necessary, no more than thirty (30) days will be allowed after the date of the recoupment notice in which additional documentation will be accepted.  Additional documentation will not be accepted after the 30 days allowed after recoupment.</w:t>
      </w:r>
    </w:p>
    <w:p w14:paraId="2631AF40" w14:textId="77777777" w:rsidR="00B66B6A" w:rsidRPr="009D7A51" w:rsidRDefault="00B66B6A" w:rsidP="00B66B6A">
      <w:pPr>
        <w:pStyle w:val="cnumbered"/>
        <w:tabs>
          <w:tab w:val="num" w:pos="1440"/>
        </w:tabs>
      </w:pPr>
      <w:r w:rsidRPr="009D7A51">
        <w:t>3.</w:t>
      </w:r>
      <w:r w:rsidRPr="009D7A51">
        <w:tab/>
        <w:t>Visual Care providers furnishing any Medicaid-covered good or service for which a prescription is required by law, by Medicaid rule, or both, must have a copy of the prescription for such good or service.  The Visual Care provider must obtain a copy of the prescription within five (5) business days of the date the prescription is written.</w:t>
      </w:r>
    </w:p>
    <w:p w14:paraId="5B1CFD45" w14:textId="77777777" w:rsidR="00EF1672" w:rsidRPr="009D7A51" w:rsidRDefault="00B66B6A" w:rsidP="00B66B6A">
      <w:pPr>
        <w:pStyle w:val="cnumbered"/>
        <w:tabs>
          <w:tab w:val="num" w:pos="1440"/>
        </w:tabs>
      </w:pPr>
      <w:r w:rsidRPr="009D7A51">
        <w:t>4.</w:t>
      </w:r>
      <w:r w:rsidRPr="009D7A51">
        <w:tab/>
        <w:t>The Visual Care provider must maintain a copy of each relevant prescription in the Medicaid beneficiary’s records and follow all prescriptions and care plans.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F00B6" w:rsidRPr="009D7A51" w14:paraId="0FC4C59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2D23CD" w14:textId="77777777" w:rsidR="005F00B6" w:rsidRPr="009D7A51" w:rsidRDefault="005F00B6" w:rsidP="006D2380">
            <w:pPr>
              <w:pStyle w:val="chead2"/>
            </w:pPr>
            <w:bookmarkStart w:id="23" w:name="_Toc199331862"/>
            <w:r w:rsidRPr="009D7A51">
              <w:t>203.000</w:t>
            </w:r>
            <w:r w:rsidRPr="009D7A51">
              <w:tab/>
              <w:t>Monitoring Performance of the Medicaid Optical Equipment Supplier</w:t>
            </w:r>
            <w:bookmarkEnd w:id="20"/>
            <w:bookmarkEnd w:id="23"/>
          </w:p>
        </w:tc>
        <w:tc>
          <w:tcPr>
            <w:tcW w:w="1238" w:type="dxa"/>
            <w:tcBorders>
              <w:top w:val="single" w:sz="2" w:space="0" w:color="FFFFFF"/>
              <w:left w:val="single" w:sz="6" w:space="0" w:color="FFFFFF"/>
              <w:bottom w:val="single" w:sz="2" w:space="0" w:color="FFFFFF"/>
              <w:right w:val="single" w:sz="2" w:space="0" w:color="FFFFFF"/>
            </w:tcBorders>
          </w:tcPr>
          <w:p w14:paraId="18C319E3" w14:textId="77777777" w:rsidR="005F00B6" w:rsidRPr="009D7A51" w:rsidRDefault="005F00B6" w:rsidP="006D2380">
            <w:pPr>
              <w:pStyle w:val="cDate2"/>
            </w:pPr>
            <w:smartTag w:uri="urn:schemas-microsoft-com:office:smarttags" w:element="date">
              <w:smartTagPr>
                <w:attr w:name="Month" w:val="12"/>
                <w:attr w:name="Day" w:val="1"/>
                <w:attr w:name="Year" w:val="2006"/>
              </w:smartTagPr>
              <w:r w:rsidRPr="009D7A51">
                <w:t>12-1-06</w:t>
              </w:r>
            </w:smartTag>
          </w:p>
        </w:tc>
      </w:tr>
    </w:tbl>
    <w:p w14:paraId="0ADD6EE7" w14:textId="77777777" w:rsidR="005F00B6" w:rsidRPr="009D7A51" w:rsidRDefault="005F00B6" w:rsidP="005F00B6">
      <w:pPr>
        <w:pStyle w:val="ctext"/>
      </w:pPr>
      <w:r w:rsidRPr="009D7A51">
        <w:t>The Arkansas Medicaid Program uses a single optical laboratory selected through a competitive bid process to furnish eyeglasses for eligible Medicaid beneficiaries.  The Medicaid Program’s Medical Assistance Unit depends on visual care providers to assist in monitoring the performance of the contractor both in quality of product and timeliness of delivery.  The following procedures must be followed:</w:t>
      </w:r>
    </w:p>
    <w:p w14:paraId="6BF4521B" w14:textId="27EFB850" w:rsidR="005F00B6" w:rsidRPr="009D7A51" w:rsidRDefault="005F00B6" w:rsidP="005F00B6">
      <w:pPr>
        <w:pStyle w:val="CLETTERED"/>
      </w:pPr>
      <w:r w:rsidRPr="009D7A51">
        <w:t>A.</w:t>
      </w:r>
      <w:r w:rsidRPr="009D7A51">
        <w:tab/>
        <w:t xml:space="preserve">The Medical Assistance Unit welcomes positive and negative comments regarding the optical laboratory’s performance.  All comments regarding the optical laboratory’s performance must be made on the Vendor Performance Report.  </w:t>
      </w:r>
      <w:hyperlink r:id="rId12" w:history="1">
        <w:r w:rsidRPr="009D7A51">
          <w:rPr>
            <w:rStyle w:val="Hyperlink"/>
          </w:rPr>
          <w:t>View or print the Vendor Performance Report.</w:t>
        </w:r>
      </w:hyperlink>
      <w:r w:rsidRPr="009D7A51">
        <w:t xml:space="preserve">  The provider will complete the Vendor Performance Report at any time a beneficiary verbally expresses dissatisfaction with their eyeglasses.</w:t>
      </w:r>
    </w:p>
    <w:p w14:paraId="16FECCDF" w14:textId="38DD5697" w:rsidR="005F00B6" w:rsidRPr="009D7A51" w:rsidRDefault="005F00B6" w:rsidP="005F00B6">
      <w:pPr>
        <w:pStyle w:val="CLETTERED"/>
      </w:pPr>
      <w:r w:rsidRPr="009D7A51">
        <w:t>B.</w:t>
      </w:r>
      <w:r w:rsidRPr="009D7A51">
        <w:tab/>
        <w:t xml:space="preserve">Vendor Performance Reports should be mailed to the Division of Medical Services, Medical Assistance Unit.  </w:t>
      </w:r>
      <w:hyperlink r:id="rId13" w:history="1">
        <w:r w:rsidRPr="009D7A51">
          <w:rPr>
            <w:rStyle w:val="Hyperlink"/>
          </w:rPr>
          <w:t>View or print the Division of Medical Services, Medical Assistance Unit contact information</w:t>
        </w:r>
      </w:hyperlink>
      <w:r w:rsidRPr="009D7A51">
        <w:t xml:space="preserve">.  </w:t>
      </w:r>
    </w:p>
    <w:p w14:paraId="4806529D" w14:textId="77777777" w:rsidR="005F00B6" w:rsidRPr="009D7A51" w:rsidRDefault="005F00B6" w:rsidP="005F00B6">
      <w:pPr>
        <w:pStyle w:val="CLETTERED"/>
      </w:pPr>
      <w:r w:rsidRPr="009D7A51">
        <w:t>C.</w:t>
      </w:r>
      <w:r w:rsidRPr="009D7A51">
        <w:tab/>
        <w:t>The Medical Assistance Unit, upon receipt of the Vendor Performance Report, will log and investigate the complaint.</w:t>
      </w:r>
    </w:p>
    <w:p w14:paraId="359C3571" w14:textId="77777777" w:rsidR="005F00B6" w:rsidRPr="009D7A51" w:rsidRDefault="005F00B6" w:rsidP="005F00B6">
      <w:pPr>
        <w:pStyle w:val="CLETTERED"/>
      </w:pPr>
      <w:r w:rsidRPr="009D7A51">
        <w:t>D.</w:t>
      </w:r>
      <w:r w:rsidRPr="009D7A51">
        <w:tab/>
        <w:t>A copy of the report is kept on file and may be a factor in awarding future contracts.</w:t>
      </w:r>
    </w:p>
    <w:p w14:paraId="44BAF2D0" w14:textId="77777777" w:rsidR="005F00B6" w:rsidRPr="009D7A51" w:rsidRDefault="005F00B6" w:rsidP="005F00B6">
      <w:pPr>
        <w:pStyle w:val="ctext"/>
      </w:pPr>
      <w:r w:rsidRPr="009D7A51">
        <w:t>To assist the Medical Assistance Unit in investigating your report, the following guidelines are suggested when submitti</w:t>
      </w:r>
      <w:r w:rsidR="00160AFC" w:rsidRPr="009D7A51">
        <w:t>ng a Vendor Performance Report:</w:t>
      </w:r>
    </w:p>
    <w:p w14:paraId="5301E955" w14:textId="77777777" w:rsidR="005F00B6" w:rsidRPr="009D7A51" w:rsidRDefault="005F00B6" w:rsidP="005F00B6">
      <w:pPr>
        <w:pStyle w:val="CLETTERED"/>
      </w:pPr>
      <w:r w:rsidRPr="009D7A51">
        <w:t>A.</w:t>
      </w:r>
      <w:r w:rsidRPr="009D7A51">
        <w:tab/>
        <w:t xml:space="preserve">Agency and address - enter your name, </w:t>
      </w:r>
      <w:proofErr w:type="gramStart"/>
      <w:r w:rsidRPr="009D7A51">
        <w:t>address</w:t>
      </w:r>
      <w:proofErr w:type="gramEnd"/>
      <w:r w:rsidRPr="009D7A51">
        <w:t xml:space="preserve"> and phone number</w:t>
      </w:r>
    </w:p>
    <w:p w14:paraId="0B613E92" w14:textId="77777777" w:rsidR="005F00B6" w:rsidRPr="009D7A51" w:rsidRDefault="005F00B6" w:rsidP="005F00B6">
      <w:pPr>
        <w:pStyle w:val="CLETTERED"/>
      </w:pPr>
      <w:r w:rsidRPr="009D7A51">
        <w:t>B.</w:t>
      </w:r>
      <w:r w:rsidRPr="009D7A51">
        <w:tab/>
        <w:t>Vendor and address - enter name and address of optical laboratory</w:t>
      </w:r>
    </w:p>
    <w:p w14:paraId="2CAA0E9A" w14:textId="77777777" w:rsidR="005F00B6" w:rsidRPr="009D7A51" w:rsidRDefault="005F00B6" w:rsidP="005F00B6">
      <w:pPr>
        <w:pStyle w:val="CLETTERED"/>
      </w:pPr>
      <w:r w:rsidRPr="009D7A51">
        <w:t>C.</w:t>
      </w:r>
      <w:r w:rsidRPr="009D7A51">
        <w:tab/>
        <w:t>Include the date the patient was examined and the date the claim and prescription were submitted</w:t>
      </w:r>
    </w:p>
    <w:p w14:paraId="12FF0031" w14:textId="77777777" w:rsidR="005F00B6" w:rsidRPr="009D7A51" w:rsidRDefault="005F00B6" w:rsidP="005F00B6">
      <w:pPr>
        <w:pStyle w:val="CLETTERED"/>
      </w:pPr>
      <w:r w:rsidRPr="009D7A51">
        <w:t>D.</w:t>
      </w:r>
      <w:r w:rsidRPr="009D7A51">
        <w:tab/>
        <w:t>Indicate the date the eyewear was delivered</w:t>
      </w:r>
    </w:p>
    <w:p w14:paraId="5BB70DE6" w14:textId="77777777" w:rsidR="005F00B6" w:rsidRPr="009D7A51" w:rsidRDefault="005F00B6" w:rsidP="005F00B6">
      <w:pPr>
        <w:pStyle w:val="CLETTERED"/>
      </w:pPr>
      <w:r w:rsidRPr="009D7A51">
        <w:lastRenderedPageBreak/>
        <w:t>E.</w:t>
      </w:r>
      <w:r w:rsidRPr="009D7A51">
        <w:tab/>
        <w:t>Describe specific problems, e.g., poor quality (explain in detail), failure to deliver in a timely manner, unauthorized frame substitution, etc.</w:t>
      </w:r>
    </w:p>
    <w:p w14:paraId="189D0FF1" w14:textId="77777777" w:rsidR="005F00B6" w:rsidRPr="009D7A51" w:rsidRDefault="005F00B6" w:rsidP="005F00B6">
      <w:pPr>
        <w:pStyle w:val="CLETTERED"/>
      </w:pPr>
      <w:r w:rsidRPr="009D7A51">
        <w:t>F.</w:t>
      </w:r>
      <w:r w:rsidRPr="009D7A51">
        <w:tab/>
        <w:t>Give name of the Medicaid beneficiary and ID number</w:t>
      </w:r>
    </w:p>
    <w:p w14:paraId="5C794CCB" w14:textId="77777777" w:rsidR="005F00B6" w:rsidRPr="009D7A51" w:rsidRDefault="005F00B6" w:rsidP="005F00B6">
      <w:pPr>
        <w:pStyle w:val="CLETTERED"/>
      </w:pPr>
      <w:r w:rsidRPr="009D7A51">
        <w:t>G.</w:t>
      </w:r>
      <w:r w:rsidRPr="009D7A51">
        <w:tab/>
        <w:t>If your staff has previously contacted the optical lab about a problem, note the date of contact, the name of the person who made the contact and the name of the persons contacted.  Include any pertinent information related to the contact.</w:t>
      </w:r>
    </w:p>
    <w:p w14:paraId="3483E316" w14:textId="0FFD7F0E" w:rsidR="005F00B6" w:rsidRPr="009D7A51" w:rsidRDefault="005F00B6" w:rsidP="005F00B6">
      <w:pPr>
        <w:pStyle w:val="ctext"/>
      </w:pPr>
      <w:r w:rsidRPr="009D7A51">
        <w:t xml:space="preserve">Copies of the Vendor Performance Report may be obtained by calling the Division of Medical Services, Medical Assistance Unit.  </w:t>
      </w:r>
      <w:hyperlink r:id="rId14" w:history="1">
        <w:r w:rsidRPr="009D7A51">
          <w:rPr>
            <w:rStyle w:val="Hyperlink"/>
          </w:rPr>
          <w:t>View or print the Division of Medical Services, Medical Assistance Unit contact information</w:t>
        </w:r>
      </w:hyperlink>
      <w:r w:rsidRPr="009D7A51">
        <w:t>.</w:t>
      </w:r>
    </w:p>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22"/>
        <w:gridCol w:w="1238"/>
      </w:tblGrid>
      <w:tr w:rsidR="002653E3" w:rsidRPr="009D7A51" w14:paraId="1D961796" w14:textId="77777777" w:rsidTr="006F4597">
        <w:tc>
          <w:tcPr>
            <w:tcW w:w="8122" w:type="dxa"/>
            <w:tcBorders>
              <w:top w:val="single" w:sz="2" w:space="0" w:color="FFFFFF"/>
              <w:left w:val="single" w:sz="2" w:space="0" w:color="FFFFFF"/>
              <w:bottom w:val="single" w:sz="2" w:space="0" w:color="FFFFFF"/>
              <w:right w:val="single" w:sz="6" w:space="0" w:color="FFFFFF"/>
            </w:tcBorders>
          </w:tcPr>
          <w:p w14:paraId="42AB8694" w14:textId="77777777" w:rsidR="002653E3" w:rsidRPr="009D7A51" w:rsidRDefault="002653E3" w:rsidP="006F4597">
            <w:pPr>
              <w:pStyle w:val="chead2"/>
              <w:keepNext/>
            </w:pPr>
            <w:bookmarkStart w:id="24" w:name="_Toc31613244"/>
            <w:bookmarkStart w:id="25" w:name="_Toc77735552"/>
            <w:bookmarkStart w:id="26" w:name="_Toc107654211"/>
            <w:bookmarkStart w:id="27" w:name="_Toc129590432"/>
            <w:bookmarkStart w:id="28" w:name="_Toc184086424"/>
            <w:bookmarkStart w:id="29" w:name="_Toc210722813"/>
            <w:bookmarkStart w:id="30" w:name="_Toc210723779"/>
            <w:bookmarkStart w:id="31" w:name="_Toc213047145"/>
            <w:bookmarkStart w:id="32" w:name="_Toc235265913"/>
            <w:bookmarkStart w:id="33" w:name="_Toc256684829"/>
            <w:bookmarkStart w:id="34" w:name="_Toc199331863"/>
            <w:bookmarkEnd w:id="9"/>
            <w:bookmarkEnd w:id="15"/>
            <w:r w:rsidRPr="009D7A51">
              <w:t>204.000</w:t>
            </w:r>
            <w:r w:rsidRPr="009D7A51">
              <w:tab/>
            </w:r>
            <w:bookmarkEnd w:id="24"/>
            <w:bookmarkEnd w:id="25"/>
            <w:r w:rsidRPr="009D7A51">
              <w:t>The Visual Care Provider’s Role in the Child Health Services (EPSDT) Program</w:t>
            </w:r>
            <w:bookmarkEnd w:id="26"/>
            <w:bookmarkEnd w:id="27"/>
            <w:bookmarkEnd w:id="28"/>
            <w:bookmarkEnd w:id="29"/>
            <w:bookmarkEnd w:id="30"/>
            <w:bookmarkEnd w:id="31"/>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4956AF76" w14:textId="77777777" w:rsidR="002653E3" w:rsidRPr="009D7A51" w:rsidRDefault="002653E3" w:rsidP="006F4597">
            <w:pPr>
              <w:pStyle w:val="cDate2"/>
            </w:pPr>
            <w:r w:rsidRPr="009D7A51">
              <w:t>1-15-11</w:t>
            </w:r>
          </w:p>
        </w:tc>
      </w:tr>
    </w:tbl>
    <w:p w14:paraId="2213A78A" w14:textId="77777777" w:rsidR="002653E3" w:rsidRPr="009D7A51" w:rsidRDefault="002653E3" w:rsidP="002653E3">
      <w:pPr>
        <w:pStyle w:val="ctext"/>
      </w:pPr>
      <w:r w:rsidRPr="009D7A51">
        <w:t>The Arkansas Medical Assistance Program includes a Child Health Service, Early and Periodic Screening, Diagnosis and Treatment (EPSDT) Program for eligible individuals less than 21 years of age.  The purpose of this program is to detect and treat health problems in their early stages.</w:t>
      </w:r>
    </w:p>
    <w:p w14:paraId="670F2F00" w14:textId="77777777" w:rsidR="002653E3" w:rsidRPr="009D7A51" w:rsidRDefault="002653E3" w:rsidP="002653E3">
      <w:pPr>
        <w:pStyle w:val="ctext"/>
      </w:pPr>
      <w:r w:rsidRPr="009D7A51">
        <w:t>If you are a Child Health Services (EPSDT) provider, please refer to the Child Health Services (EPSDT) provider manual for additional information.</w:t>
      </w:r>
    </w:p>
    <w:p w14:paraId="4C8AF2FC" w14:textId="18926FC8" w:rsidR="002653E3" w:rsidRPr="009D7A51" w:rsidRDefault="002653E3" w:rsidP="002653E3">
      <w:pPr>
        <w:pStyle w:val="ctext"/>
        <w:rPr>
          <w:rStyle w:val="Hyperlink"/>
        </w:rPr>
      </w:pPr>
      <w:r w:rsidRPr="009D7A51">
        <w:t xml:space="preserve">Visual care providers interested in enrolling in the Child Health Services (EPSDT) Program should contact the Child Health Services Office.  </w:t>
      </w:r>
      <w:hyperlink r:id="rId15" w:history="1">
        <w:r w:rsidRPr="009D7A51">
          <w:rPr>
            <w:rStyle w:val="Hyperlink"/>
          </w:rPr>
          <w:t>View or print contact information for the Child Health Services Office.</w:t>
        </w:r>
      </w:hyperlink>
    </w:p>
    <w:p w14:paraId="09987B2D" w14:textId="77777777" w:rsidR="002653E3" w:rsidRPr="009D7A51" w:rsidRDefault="002653E3" w:rsidP="002653E3">
      <w:pPr>
        <w:pStyle w:val="ctext"/>
        <w:autoSpaceDE w:val="0"/>
      </w:pPr>
      <w:r w:rsidRPr="009D7A51">
        <w:t xml:space="preserve">Visual care providers must bill Child Health Services (EPSDT) on the CMS-1500 claim form using the proper Child Health Services (EPSDT) procedure codes found in the Child Health Services (EPSDT) provider manual.  See the EPSDT provider manual for information regarding EPSDT screenings.  Ancillary charges, such as lab and X-ray, associated with Child Health Services (EPSDT) should also be listed on the CMS-1500.  </w:t>
      </w:r>
      <w:hyperlink r:id="rId16" w:history="1">
        <w:r w:rsidRPr="009D7A51">
          <w:rPr>
            <w:rStyle w:val="Hyperlink"/>
          </w:rPr>
          <w:t>View a CMS-1500 sample claim form.</w:t>
        </w:r>
      </w:hyperlink>
    </w:p>
    <w:p w14:paraId="39BA27B8" w14:textId="77777777" w:rsidR="002653E3" w:rsidRPr="009D7A51" w:rsidRDefault="002653E3" w:rsidP="002653E3">
      <w:pPr>
        <w:pStyle w:val="ctext"/>
      </w:pPr>
      <w:r w:rsidRPr="009D7A51">
        <w:t xml:space="preserve">Any enrolled Arkansas Medicaid provider rendering services not covered by the Arkansas Medicaid Program to a participant in the Child Health Services (EPSDT) Program who has been referred for services </w:t>
      </w:r>
      <w:proofErr w:type="gramStart"/>
      <w:r w:rsidRPr="009D7A51">
        <w:t>as a result of</w:t>
      </w:r>
      <w:proofErr w:type="gramEnd"/>
      <w:r w:rsidRPr="009D7A51">
        <w:t xml:space="preserve"> an EPSDT screen will be reimbursed for the services rendered if the services are medically necessary and permitted under federal Medicaid regulations.</w:t>
      </w:r>
    </w:p>
    <w:p w14:paraId="3592846D" w14:textId="77777777" w:rsidR="002653E3" w:rsidRPr="009D7A51" w:rsidRDefault="002653E3" w:rsidP="002653E3">
      <w:pPr>
        <w:pStyle w:val="ctext"/>
      </w:pPr>
      <w:r w:rsidRPr="009D7A51">
        <w:t>Any Arkansas Medicaid provider may bill for non-covered services if the services are provided to a participant in the Child Health Services (EPSDT) Program who has been referred due to an EPSDT screen.  The services must be medically necessary and permitted under federal Medicaid regulations.</w:t>
      </w:r>
    </w:p>
    <w:p w14:paraId="50EF277B" w14:textId="77777777" w:rsidR="002653E3" w:rsidRPr="009D7A51" w:rsidRDefault="002653E3" w:rsidP="002653E3">
      <w:pPr>
        <w:pStyle w:val="ctext"/>
      </w:pPr>
      <w:r w:rsidRPr="009D7A51">
        <w:t xml:space="preserve">When a provider performs a Child Health Services (EPSDT) screen and refers the patient to another provider for services </w:t>
      </w:r>
      <w:r w:rsidRPr="009D7A51">
        <w:rPr>
          <w:b/>
          <w:bCs/>
        </w:rPr>
        <w:t>not covered</w:t>
      </w:r>
      <w:r w:rsidRPr="009D7A51">
        <w:t xml:space="preserve"> by Arkansas Medicaid, the referring provider must give the beneficiary a prescription for the non-covered services.  The prescription must indicate the services being prescribed and state the services are being prescribed due to an EPSDT screen.  </w:t>
      </w:r>
      <w:proofErr w:type="gramStart"/>
      <w:r w:rsidRPr="009D7A51">
        <w:rPr>
          <w:b/>
        </w:rPr>
        <w:t>In order for</w:t>
      </w:r>
      <w:proofErr w:type="gramEnd"/>
      <w:r w:rsidRPr="009D7A51">
        <w:rPr>
          <w:b/>
        </w:rPr>
        <w:t xml:space="preserve"> the non-covered service to be eligible for Medicaid payment, the referral </w:t>
      </w:r>
      <w:r w:rsidRPr="009D7A51">
        <w:t>documentation must be available for review.  A provider who performs a Child Health Services (EPSDT) screen may also provide services resulting from the screen, if appropriate.</w:t>
      </w:r>
    </w:p>
    <w:p w14:paraId="01CA8A61" w14:textId="77777777" w:rsidR="002653E3" w:rsidRPr="009D7A51" w:rsidRDefault="002653E3" w:rsidP="002653E3">
      <w:pPr>
        <w:pStyle w:val="ctext"/>
      </w:pPr>
      <w:r w:rsidRPr="009D7A51">
        <w:t>The prescription for services must be dated by the referring provider.  The prescription for the non-covered service is acceptable if services were prescribed and the prescription is dated within the applicable periodicity schedule, not to exceed a maximum of 12 months.</w:t>
      </w:r>
    </w:p>
    <w:p w14:paraId="522B65E8" w14:textId="77777777" w:rsidR="002B5C55" w:rsidRPr="009D7A51" w:rsidRDefault="002B5C55" w:rsidP="00CF1ED2">
      <w:pPr>
        <w:pStyle w:val="ctablespace"/>
      </w:pPr>
    </w:p>
    <w:tbl>
      <w:tblPr>
        <w:tblW w:w="9360" w:type="dxa"/>
        <w:tblLook w:val="0000" w:firstRow="0" w:lastRow="0" w:firstColumn="0" w:lastColumn="0" w:noHBand="0" w:noVBand="0"/>
      </w:tblPr>
      <w:tblGrid>
        <w:gridCol w:w="8122"/>
        <w:gridCol w:w="1238"/>
      </w:tblGrid>
      <w:tr w:rsidR="0085484F" w:rsidRPr="009D7A51" w14:paraId="37EA98F0" w14:textId="77777777" w:rsidTr="0017242B">
        <w:tblPrEx>
          <w:tblCellMar>
            <w:top w:w="0" w:type="dxa"/>
            <w:bottom w:w="0" w:type="dxa"/>
          </w:tblCellMar>
        </w:tblPrEx>
        <w:trPr>
          <w:cantSplit/>
        </w:trPr>
        <w:tc>
          <w:tcPr>
            <w:tcW w:w="8122" w:type="dxa"/>
            <w:shd w:val="clear" w:color="auto" w:fill="1D73D6"/>
          </w:tcPr>
          <w:p w14:paraId="65F157BD" w14:textId="77777777" w:rsidR="0085484F" w:rsidRPr="009D7A51" w:rsidRDefault="0085484F" w:rsidP="00CF1ED2">
            <w:pPr>
              <w:pStyle w:val="chead1"/>
            </w:pPr>
            <w:bookmarkStart w:id="35" w:name="_Toc24252733"/>
            <w:bookmarkStart w:id="36" w:name="_Toc199331864"/>
            <w:r w:rsidRPr="009D7A51">
              <w:t>210.000</w:t>
            </w:r>
            <w:r w:rsidRPr="009D7A51">
              <w:tab/>
              <w:t>Program coverage</w:t>
            </w:r>
            <w:bookmarkEnd w:id="35"/>
            <w:bookmarkEnd w:id="36"/>
          </w:p>
        </w:tc>
        <w:tc>
          <w:tcPr>
            <w:tcW w:w="1238" w:type="dxa"/>
            <w:shd w:val="clear" w:color="auto" w:fill="1D73D6"/>
            <w:vAlign w:val="center"/>
          </w:tcPr>
          <w:p w14:paraId="76BFD210" w14:textId="77777777" w:rsidR="0085484F" w:rsidRPr="009D7A51" w:rsidRDefault="0085484F">
            <w:pPr>
              <w:pStyle w:val="cDate1"/>
              <w:rPr>
                <w:bCs/>
              </w:rPr>
            </w:pPr>
          </w:p>
        </w:tc>
      </w:tr>
      <w:tr w:rsidR="005F00B6" w:rsidRPr="009D7A51" w14:paraId="0107B71F" w14:textId="77777777" w:rsidTr="0017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DFA0308" w14:textId="77777777" w:rsidR="005F00B6" w:rsidRPr="009D7A51" w:rsidRDefault="005F00B6" w:rsidP="006D2380">
            <w:pPr>
              <w:pStyle w:val="chead2"/>
            </w:pPr>
            <w:bookmarkStart w:id="37" w:name="_Toc138131548"/>
            <w:bookmarkStart w:id="38" w:name="_Toc199331865"/>
            <w:r w:rsidRPr="009D7A51">
              <w:t>211.000</w:t>
            </w:r>
            <w:r w:rsidRPr="009D7A51">
              <w:tab/>
              <w:t>Introduction</w:t>
            </w:r>
            <w:bookmarkEnd w:id="37"/>
            <w:bookmarkEnd w:id="38"/>
          </w:p>
        </w:tc>
        <w:tc>
          <w:tcPr>
            <w:tcW w:w="1238" w:type="dxa"/>
            <w:tcBorders>
              <w:top w:val="nil"/>
              <w:left w:val="single" w:sz="6" w:space="0" w:color="FFFFFF"/>
              <w:bottom w:val="single" w:sz="2" w:space="0" w:color="FFFFFF"/>
              <w:right w:val="single" w:sz="2" w:space="0" w:color="FFFFFF"/>
            </w:tcBorders>
          </w:tcPr>
          <w:p w14:paraId="3B532D90" w14:textId="77777777" w:rsidR="005F00B6" w:rsidRPr="009D7A51" w:rsidRDefault="005F00B6" w:rsidP="006D2380">
            <w:pPr>
              <w:pStyle w:val="cDate2"/>
            </w:pPr>
            <w:smartTag w:uri="urn:schemas-microsoft-com:office:smarttags" w:element="date">
              <w:smartTagPr>
                <w:attr w:name="Year" w:val="2006"/>
                <w:attr w:name="Day" w:val="1"/>
                <w:attr w:name="Month" w:val="12"/>
              </w:smartTagPr>
              <w:r w:rsidRPr="009D7A51">
                <w:t>12-1-06</w:t>
              </w:r>
            </w:smartTag>
          </w:p>
        </w:tc>
      </w:tr>
    </w:tbl>
    <w:p w14:paraId="2008D085" w14:textId="77777777" w:rsidR="005F00B6" w:rsidRPr="009D7A51" w:rsidRDefault="005F00B6" w:rsidP="005F00B6">
      <w:pPr>
        <w:pStyle w:val="ctext"/>
      </w:pPr>
      <w:r w:rsidRPr="009D7A51">
        <w:lastRenderedPageBreak/>
        <w:t>The Arkansas Medicaid Program covers visual care services of Medicaid beneficiaries within restrictions set in federal and state guidelines.  The following paragraphs are a general summary of the program coverage.  Detailed coverage, prior authorization, reference information and other requirements may be found in those specific sections within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F1672" w:rsidRPr="009D7A51" w14:paraId="3073C9B9" w14:textId="77777777" w:rsidTr="00E060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3430E6" w14:textId="77777777" w:rsidR="00EF1672" w:rsidRPr="009D7A51" w:rsidRDefault="00EF1672" w:rsidP="00E060BC">
            <w:pPr>
              <w:pStyle w:val="chead2"/>
            </w:pPr>
            <w:bookmarkStart w:id="39" w:name="_Toc24252736"/>
            <w:bookmarkStart w:id="40" w:name="_Toc138131549"/>
            <w:bookmarkStart w:id="41" w:name="_Toc199331866"/>
            <w:r w:rsidRPr="009D7A51">
              <w:t>212.000</w:t>
            </w:r>
            <w:r w:rsidRPr="009D7A51">
              <w:tab/>
              <w:t>Contact Lens</w:t>
            </w:r>
            <w:bookmarkEnd w:id="40"/>
            <w:bookmarkEnd w:id="41"/>
          </w:p>
        </w:tc>
        <w:tc>
          <w:tcPr>
            <w:tcW w:w="1238" w:type="dxa"/>
            <w:tcBorders>
              <w:top w:val="single" w:sz="2" w:space="0" w:color="FFFFFF"/>
              <w:left w:val="single" w:sz="6" w:space="0" w:color="FFFFFF"/>
              <w:bottom w:val="single" w:sz="2" w:space="0" w:color="FFFFFF"/>
              <w:right w:val="single" w:sz="2" w:space="0" w:color="FFFFFF"/>
            </w:tcBorders>
          </w:tcPr>
          <w:p w14:paraId="26449779" w14:textId="77777777" w:rsidR="00EF1672" w:rsidRPr="009D7A51" w:rsidRDefault="00EF1672" w:rsidP="00E060BC">
            <w:pPr>
              <w:pStyle w:val="cDate2"/>
            </w:pPr>
            <w:r w:rsidRPr="009D7A51">
              <w:t>9-1-08</w:t>
            </w:r>
          </w:p>
        </w:tc>
      </w:tr>
    </w:tbl>
    <w:p w14:paraId="650E8859" w14:textId="77777777" w:rsidR="00EF1672" w:rsidRPr="009D7A51" w:rsidRDefault="00EF1672" w:rsidP="00EF1672">
      <w:pPr>
        <w:pStyle w:val="ctext"/>
      </w:pPr>
      <w:r w:rsidRPr="009D7A51">
        <w:t>The Visual Care Program makes contact lenses available to eligible beneficiaries under the following guidelines:</w:t>
      </w:r>
    </w:p>
    <w:p w14:paraId="7991A11F" w14:textId="77777777" w:rsidR="00EF1672" w:rsidRPr="009D7A51" w:rsidRDefault="00EF1672" w:rsidP="00EF1672">
      <w:pPr>
        <w:pStyle w:val="CLETTERED"/>
      </w:pPr>
      <w:r w:rsidRPr="009D7A51">
        <w:t>A.</w:t>
      </w:r>
      <w:r w:rsidRPr="009D7A51">
        <w:tab/>
        <w:t>All requests for contact lenses require prior authorization by the Medical Assistance Unit.  (Refer to Section 220.000 of this manual for prior authorization procedures).</w:t>
      </w:r>
    </w:p>
    <w:p w14:paraId="62DF223D" w14:textId="77777777" w:rsidR="00EF1672" w:rsidRPr="009D7A51" w:rsidRDefault="00EF1672" w:rsidP="00EF1672">
      <w:pPr>
        <w:pStyle w:val="CLETTERED"/>
      </w:pPr>
      <w:r w:rsidRPr="009D7A51">
        <w:t>B.</w:t>
      </w:r>
      <w:r w:rsidRPr="009D7A51">
        <w:tab/>
        <w:t>Contact lenses are covered if either of the following conditions is exhibited by the patient:</w:t>
      </w:r>
    </w:p>
    <w:p w14:paraId="2531614B" w14:textId="77777777" w:rsidR="00EF1672" w:rsidRPr="009D7A51" w:rsidRDefault="00EF1672" w:rsidP="00EF1672">
      <w:pPr>
        <w:pStyle w:val="cnumbered"/>
      </w:pPr>
      <w:r w:rsidRPr="009D7A51">
        <w:t>1.</w:t>
      </w:r>
      <w:r w:rsidRPr="009D7A51">
        <w:tab/>
        <w:t>Medically necessary</w:t>
      </w:r>
    </w:p>
    <w:p w14:paraId="726E39A2" w14:textId="77777777" w:rsidR="00EF1672" w:rsidRPr="009D7A51" w:rsidRDefault="00EF1672" w:rsidP="00EF1672">
      <w:pPr>
        <w:pStyle w:val="cnumbered"/>
      </w:pPr>
      <w:r w:rsidRPr="009D7A51">
        <w:t>2.</w:t>
      </w:r>
      <w:r w:rsidRPr="009D7A51">
        <w:tab/>
        <w:t>Cataract (aphakia) patients</w:t>
      </w:r>
    </w:p>
    <w:p w14:paraId="09A5EF52" w14:textId="77777777" w:rsidR="00EF1672" w:rsidRPr="009D7A51" w:rsidRDefault="00EF1672" w:rsidP="00EF1672">
      <w:pPr>
        <w:pStyle w:val="CLETTERED"/>
      </w:pPr>
      <w:r w:rsidRPr="009D7A51">
        <w:t>C.</w:t>
      </w:r>
      <w:r w:rsidRPr="009D7A51">
        <w:tab/>
        <w:t>The following types of contact lenses are provided:</w:t>
      </w:r>
    </w:p>
    <w:p w14:paraId="3DDACCD2" w14:textId="77777777" w:rsidR="00EF1672" w:rsidRPr="009D7A51" w:rsidRDefault="00EF1672" w:rsidP="00EF1672">
      <w:pPr>
        <w:pStyle w:val="cnumbered"/>
      </w:pPr>
      <w:r w:rsidRPr="009D7A51">
        <w:t>1.</w:t>
      </w:r>
      <w:r w:rsidRPr="009D7A51">
        <w:tab/>
        <w:t>Soft lens</w:t>
      </w:r>
    </w:p>
    <w:p w14:paraId="0DF05854" w14:textId="77777777" w:rsidR="00EF1672" w:rsidRPr="009D7A51" w:rsidRDefault="00EF1672" w:rsidP="00EF1672">
      <w:pPr>
        <w:pStyle w:val="cnumbered"/>
      </w:pPr>
      <w:r w:rsidRPr="009D7A51">
        <w:t>2.</w:t>
      </w:r>
      <w:r w:rsidRPr="009D7A51">
        <w:tab/>
        <w:t>Hard lens</w:t>
      </w:r>
    </w:p>
    <w:p w14:paraId="58793F4B" w14:textId="77777777" w:rsidR="00EF1672" w:rsidRPr="009D7A51" w:rsidRDefault="00EF1672" w:rsidP="00EF1672">
      <w:pPr>
        <w:pStyle w:val="cnumbered"/>
      </w:pPr>
      <w:r w:rsidRPr="009D7A51">
        <w:t>3.</w:t>
      </w:r>
      <w:r w:rsidRPr="009D7A51">
        <w:tab/>
        <w:t>Toric lens to correct astigmatism</w:t>
      </w:r>
    </w:p>
    <w:p w14:paraId="3E7E039A" w14:textId="77777777" w:rsidR="00EF1672" w:rsidRPr="009D7A51" w:rsidRDefault="00EF1672" w:rsidP="00EF1672">
      <w:pPr>
        <w:pStyle w:val="cnumbered"/>
      </w:pPr>
      <w:r w:rsidRPr="009D7A51">
        <w:t>4.</w:t>
      </w:r>
      <w:r w:rsidRPr="009D7A51">
        <w:tab/>
        <w:t>Monocular lens</w:t>
      </w:r>
    </w:p>
    <w:p w14:paraId="035CFF3E" w14:textId="77777777" w:rsidR="00EF1672" w:rsidRPr="009D7A51" w:rsidRDefault="00EF1672" w:rsidP="00EF1672">
      <w:pPr>
        <w:pStyle w:val="cnumbered"/>
      </w:pPr>
      <w:r w:rsidRPr="009D7A51">
        <w:t>5.</w:t>
      </w:r>
      <w:r w:rsidRPr="009D7A51">
        <w:tab/>
        <w:t>Lenses for cataract patients</w:t>
      </w:r>
    </w:p>
    <w:p w14:paraId="21B8AE43" w14:textId="77777777" w:rsidR="00EF1672" w:rsidRPr="009D7A51" w:rsidRDefault="00EF1672" w:rsidP="00EF1672">
      <w:pPr>
        <w:pStyle w:val="cnumbered"/>
      </w:pPr>
      <w:r w:rsidRPr="009D7A51">
        <w:t>6.</w:t>
      </w:r>
      <w:r w:rsidRPr="009D7A51">
        <w:tab/>
        <w:t>Gas Permeable</w:t>
      </w:r>
    </w:p>
    <w:p w14:paraId="450217C8" w14:textId="77777777" w:rsidR="00EF1672" w:rsidRPr="009D7A51" w:rsidRDefault="00EF1672" w:rsidP="00EF1672">
      <w:pPr>
        <w:pStyle w:val="cnumbered"/>
      </w:pPr>
      <w:r w:rsidRPr="009D7A51">
        <w:t>7.</w:t>
      </w:r>
      <w:r w:rsidRPr="009D7A51">
        <w:tab/>
        <w:t>Keratoconus lens</w:t>
      </w:r>
    </w:p>
    <w:p w14:paraId="7C572C85" w14:textId="77777777" w:rsidR="00EF1672" w:rsidRPr="009D7A51" w:rsidRDefault="00EF1672" w:rsidP="00EF1672">
      <w:pPr>
        <w:pStyle w:val="cnumbered"/>
      </w:pPr>
      <w:r w:rsidRPr="009D7A51">
        <w:t>8.</w:t>
      </w:r>
      <w:r w:rsidRPr="009D7A51">
        <w:tab/>
        <w:t>Planned replacement lens</w:t>
      </w:r>
    </w:p>
    <w:p w14:paraId="3753D47E" w14:textId="77777777" w:rsidR="00EF1672" w:rsidRPr="009D7A51" w:rsidRDefault="00EF1672" w:rsidP="00EF1672">
      <w:pPr>
        <w:pStyle w:val="cnumbered"/>
      </w:pPr>
      <w:r w:rsidRPr="009D7A51">
        <w:t>9.</w:t>
      </w:r>
      <w:r w:rsidRPr="009D7A51">
        <w:tab/>
        <w:t>Disposable lens</w:t>
      </w:r>
    </w:p>
    <w:p w14:paraId="260BA816" w14:textId="77777777" w:rsidR="00EF1672" w:rsidRPr="009D7A51" w:rsidRDefault="00EF1672" w:rsidP="00EF1672">
      <w:pPr>
        <w:pStyle w:val="CLETTERED"/>
      </w:pPr>
      <w:r w:rsidRPr="009D7A51">
        <w:t>D.</w:t>
      </w:r>
      <w:r w:rsidRPr="009D7A51">
        <w:tab/>
        <w:t>Bifocal lenses are not covered.</w:t>
      </w:r>
    </w:p>
    <w:p w14:paraId="283C2451" w14:textId="21427B80" w:rsidR="00EF1672" w:rsidRPr="009D7A51" w:rsidRDefault="00EF1672" w:rsidP="00EF1672">
      <w:pPr>
        <w:pStyle w:val="CLETTERED"/>
        <w:rPr>
          <w:rStyle w:val="Hyperlink"/>
        </w:rPr>
      </w:pPr>
      <w:r w:rsidRPr="009D7A51">
        <w:t>E.</w:t>
      </w:r>
      <w:r w:rsidRPr="009D7A51">
        <w:tab/>
        <w:t xml:space="preserve">Upon completion of the visual analysis, the provider will forward a letter containing the following information to the Division of Medical Services, Medical Assistance Unit.  </w:t>
      </w:r>
      <w:hyperlink r:id="rId17" w:history="1">
        <w:r w:rsidRPr="009D7A51">
          <w:rPr>
            <w:rStyle w:val="Hyperlink"/>
          </w:rPr>
          <w:t>View or print form DMS-0101.</w:t>
        </w:r>
      </w:hyperlink>
    </w:p>
    <w:p w14:paraId="264A067A" w14:textId="77777777" w:rsidR="00EF1672" w:rsidRPr="009D7A51" w:rsidRDefault="00EF1672" w:rsidP="00EF1672">
      <w:pPr>
        <w:pStyle w:val="cnumbered"/>
      </w:pPr>
      <w:r w:rsidRPr="009D7A51">
        <w:t>1.</w:t>
      </w:r>
      <w:r w:rsidRPr="009D7A51">
        <w:tab/>
        <w:t>Patient’s name, date of birth and Medicaid ID number</w:t>
      </w:r>
    </w:p>
    <w:p w14:paraId="00E74201" w14:textId="77777777" w:rsidR="00EF1672" w:rsidRPr="009D7A51" w:rsidRDefault="00EF1672" w:rsidP="00EF1672">
      <w:pPr>
        <w:pStyle w:val="cnumbered"/>
      </w:pPr>
      <w:r w:rsidRPr="009D7A51">
        <w:t>2.</w:t>
      </w:r>
      <w:r w:rsidRPr="009D7A51">
        <w:tab/>
        <w:t>Date of service</w:t>
      </w:r>
    </w:p>
    <w:p w14:paraId="42DBBF02" w14:textId="77777777" w:rsidR="00EF1672" w:rsidRPr="009D7A51" w:rsidRDefault="00EF1672" w:rsidP="00EF1672">
      <w:pPr>
        <w:pStyle w:val="cnumbered"/>
      </w:pPr>
      <w:r w:rsidRPr="009D7A51">
        <w:t>3.</w:t>
      </w:r>
      <w:r w:rsidRPr="009D7A51">
        <w:tab/>
        <w:t>Patient’s complaint</w:t>
      </w:r>
    </w:p>
    <w:p w14:paraId="033B94BC" w14:textId="77777777" w:rsidR="00EF1672" w:rsidRPr="009D7A51" w:rsidRDefault="00EF1672" w:rsidP="00EF1672">
      <w:pPr>
        <w:pStyle w:val="cnumbered"/>
      </w:pPr>
      <w:r w:rsidRPr="009D7A51">
        <w:t>4.</w:t>
      </w:r>
      <w:r w:rsidRPr="009D7A51">
        <w:tab/>
        <w:t>Diagnosis and pathology</w:t>
      </w:r>
    </w:p>
    <w:p w14:paraId="1FC5A98B" w14:textId="77777777" w:rsidR="00EF1672" w:rsidRPr="009D7A51" w:rsidRDefault="00EF1672" w:rsidP="00EF1672">
      <w:pPr>
        <w:pStyle w:val="cnumbered"/>
      </w:pPr>
      <w:r w:rsidRPr="009D7A51">
        <w:t>5.</w:t>
      </w:r>
      <w:r w:rsidRPr="009D7A51">
        <w:tab/>
        <w:t>Visual acuities without correction, with present correction and with best correction</w:t>
      </w:r>
    </w:p>
    <w:p w14:paraId="7D060AA4" w14:textId="77777777" w:rsidR="00EF1672" w:rsidRPr="009D7A51" w:rsidRDefault="00EF1672" w:rsidP="00EF1672">
      <w:pPr>
        <w:pStyle w:val="cnumbered"/>
      </w:pPr>
      <w:r w:rsidRPr="009D7A51">
        <w:t>6.</w:t>
      </w:r>
      <w:r w:rsidRPr="009D7A51">
        <w:tab/>
        <w:t>Power of patient’s most recent prior prescription</w:t>
      </w:r>
    </w:p>
    <w:p w14:paraId="6BD341EB" w14:textId="77777777" w:rsidR="00EF1672" w:rsidRPr="009D7A51" w:rsidRDefault="00EF1672" w:rsidP="00EF1672">
      <w:pPr>
        <w:pStyle w:val="cnumbered"/>
      </w:pPr>
      <w:r w:rsidRPr="009D7A51">
        <w:t>7.</w:t>
      </w:r>
      <w:r w:rsidRPr="009D7A51">
        <w:tab/>
        <w:t>Medical justification for prescribing contacts</w:t>
      </w:r>
    </w:p>
    <w:p w14:paraId="2294B674" w14:textId="77777777" w:rsidR="00EF1672" w:rsidRPr="009D7A51" w:rsidRDefault="00EF1672" w:rsidP="00EF1672">
      <w:pPr>
        <w:pStyle w:val="cnumbered"/>
      </w:pPr>
      <w:r w:rsidRPr="009D7A51">
        <w:t>8.</w:t>
      </w:r>
      <w:r w:rsidRPr="009D7A51">
        <w:tab/>
        <w:t xml:space="preserve">Type of contacts requested, lens specifications, K reading, hard or soft conventional daily-wear contacts, </w:t>
      </w:r>
      <w:proofErr w:type="gramStart"/>
      <w:r w:rsidRPr="009D7A51">
        <w:t>disposable</w:t>
      </w:r>
      <w:proofErr w:type="gramEnd"/>
      <w:r w:rsidRPr="009D7A51">
        <w:t xml:space="preserve"> or planned replacement contacts</w:t>
      </w:r>
    </w:p>
    <w:p w14:paraId="3E285123" w14:textId="77777777" w:rsidR="00EF1672" w:rsidRPr="009D7A51" w:rsidRDefault="00EF1672" w:rsidP="00EF1672">
      <w:pPr>
        <w:pStyle w:val="cnumbered"/>
      </w:pPr>
      <w:r w:rsidRPr="009D7A51">
        <w:t>9.</w:t>
      </w:r>
      <w:r w:rsidRPr="009D7A51">
        <w:tab/>
        <w:t xml:space="preserve">Provider name, </w:t>
      </w:r>
      <w:proofErr w:type="gramStart"/>
      <w:r w:rsidRPr="009D7A51">
        <w:t>address</w:t>
      </w:r>
      <w:proofErr w:type="gramEnd"/>
      <w:r w:rsidRPr="009D7A51">
        <w:t xml:space="preserve"> and Medicaid provider number</w:t>
      </w:r>
    </w:p>
    <w:p w14:paraId="2BBD931E" w14:textId="77777777" w:rsidR="00EF1672" w:rsidRPr="009D7A51" w:rsidRDefault="00EF1672" w:rsidP="00EF1672">
      <w:pPr>
        <w:pStyle w:val="CLETTERED"/>
      </w:pPr>
      <w:r w:rsidRPr="009D7A51">
        <w:t>F.</w:t>
      </w:r>
      <w:r w:rsidRPr="009D7A51">
        <w:tab/>
        <w:t>The visual analysis is reimbursable even if the contact lenses are not authorized.  All other services should be billed as a package deal and should include the following services:</w:t>
      </w:r>
    </w:p>
    <w:p w14:paraId="22C1B2DA" w14:textId="77777777" w:rsidR="00EF1672" w:rsidRPr="009D7A51" w:rsidRDefault="00EF1672" w:rsidP="00EF1672">
      <w:pPr>
        <w:pStyle w:val="cnumbered"/>
      </w:pPr>
      <w:r w:rsidRPr="009D7A51">
        <w:t>1.</w:t>
      </w:r>
      <w:r w:rsidRPr="009D7A51">
        <w:tab/>
        <w:t>Prescription services</w:t>
      </w:r>
    </w:p>
    <w:p w14:paraId="7BF71D93" w14:textId="77777777" w:rsidR="00EF1672" w:rsidRPr="009D7A51" w:rsidRDefault="00EF1672" w:rsidP="00EF1672">
      <w:pPr>
        <w:pStyle w:val="cnumbered"/>
      </w:pPr>
      <w:r w:rsidRPr="009D7A51">
        <w:t>2.</w:t>
      </w:r>
      <w:r w:rsidRPr="009D7A51">
        <w:tab/>
        <w:t>Supply and fitting of contact lens</w:t>
      </w:r>
    </w:p>
    <w:p w14:paraId="52367C13" w14:textId="77777777" w:rsidR="00EF1672" w:rsidRPr="009D7A51" w:rsidRDefault="00EF1672" w:rsidP="00EF1672">
      <w:pPr>
        <w:pStyle w:val="cnumbered"/>
      </w:pPr>
      <w:r w:rsidRPr="009D7A51">
        <w:lastRenderedPageBreak/>
        <w:t>3.</w:t>
      </w:r>
      <w:r w:rsidRPr="009D7A51">
        <w:tab/>
        <w:t>Contact lens care kit, including sterilizer</w:t>
      </w:r>
    </w:p>
    <w:p w14:paraId="0F42BF7E" w14:textId="77777777" w:rsidR="00EF1672" w:rsidRPr="009D7A51" w:rsidRDefault="00EF1672" w:rsidP="00EF1672">
      <w:pPr>
        <w:pStyle w:val="cnumbered"/>
      </w:pPr>
      <w:r w:rsidRPr="009D7A51">
        <w:t>4.</w:t>
      </w:r>
      <w:r w:rsidRPr="009D7A51">
        <w:tab/>
        <w:t>Up to four follow-up visits to achieve maximum wearing time up to a period of six months.  The patient will be responsible for payment of all other office visits after the four initial visits or six months, whichever comes first.</w:t>
      </w:r>
    </w:p>
    <w:p w14:paraId="0EB90F68" w14:textId="77777777" w:rsidR="00EF1672" w:rsidRPr="009D7A51" w:rsidRDefault="00EF1672" w:rsidP="00EF1672">
      <w:pPr>
        <w:pStyle w:val="CLETTERED"/>
      </w:pPr>
      <w:r w:rsidRPr="009D7A51">
        <w:t>G.</w:t>
      </w:r>
      <w:r w:rsidRPr="009D7A51">
        <w:tab/>
        <w:t xml:space="preserve">A patient receiving contact lenses should have a pair of conventional glasses.  If the current prescription of the patient’s glasses is adequate, Medicaid will not furnish another pair.  When the patient does not have a pair of conventional glasses or the current prescription is inadequate, a new pair will be furnished.  If a new pair is needed, the provider must complete and submit Form </w:t>
      </w:r>
      <w:r w:rsidR="0089654F" w:rsidRPr="009D7A51">
        <w:t>CMS-1500</w:t>
      </w:r>
      <w:r w:rsidRPr="009D7A51">
        <w:t xml:space="preserve"> with a request for contact lens invoice.  </w:t>
      </w:r>
      <w:hyperlink r:id="rId18" w:history="1">
        <w:r w:rsidRPr="009D7A51">
          <w:rPr>
            <w:rStyle w:val="Hyperlink"/>
          </w:rPr>
          <w:t xml:space="preserve">View a </w:t>
        </w:r>
        <w:r w:rsidR="0089654F" w:rsidRPr="009D7A51">
          <w:rPr>
            <w:rStyle w:val="Hyperlink"/>
          </w:rPr>
          <w:t>CMS-1500</w:t>
        </w:r>
        <w:r w:rsidRPr="009D7A51">
          <w:rPr>
            <w:rStyle w:val="Hyperlink"/>
          </w:rPr>
          <w:t xml:space="preserve"> sample form</w:t>
        </w:r>
      </w:hyperlink>
      <w:r w:rsidRPr="009D7A51">
        <w:t>.  The prescribing doctor will be paid one time for prescribing and verifying the prescription.  At the time of the contact lens request, the provider should furnish the power of the patient’s old prescription, if available.</w:t>
      </w:r>
    </w:p>
    <w:p w14:paraId="6C90B8F5" w14:textId="77777777" w:rsidR="00EF1672" w:rsidRPr="009D7A51" w:rsidRDefault="00EF1672" w:rsidP="00EF1672">
      <w:pPr>
        <w:pStyle w:val="CLETTERED"/>
      </w:pPr>
      <w:r w:rsidRPr="009D7A51">
        <w:t>H.</w:t>
      </w:r>
      <w:r w:rsidRPr="009D7A51">
        <w:tab/>
        <w:t xml:space="preserve">Neither </w:t>
      </w:r>
      <w:proofErr w:type="gramStart"/>
      <w:r w:rsidRPr="009D7A51">
        <w:t>insurance nor service contracts are provided by Medicaid</w:t>
      </w:r>
      <w:proofErr w:type="gramEnd"/>
      <w:r w:rsidRPr="009D7A51">
        <w:t>.  This is the beneficiary’s responsibility.</w:t>
      </w:r>
    </w:p>
    <w:p w14:paraId="07148758" w14:textId="48906332" w:rsidR="00EF1672" w:rsidRPr="009D7A51" w:rsidRDefault="00EF1672" w:rsidP="00EF1672">
      <w:pPr>
        <w:pStyle w:val="CLETTERED"/>
      </w:pPr>
      <w:r w:rsidRPr="009D7A51">
        <w:t>I.</w:t>
      </w:r>
      <w:r w:rsidRPr="009D7A51">
        <w:tab/>
        <w:t xml:space="preserve">If the patient cannot wear the lens, it is the responsibility of the provider to notify Medicaid and reimburse the program 50 percent of Medicaid’s payment for the contact lens package deal.  Refund checks will be made payable to DHS Accounts Receivable.  </w:t>
      </w:r>
      <w:hyperlink r:id="rId19" w:history="1">
        <w:r w:rsidRPr="009D7A51">
          <w:rPr>
            <w:rStyle w:val="Hyperlink"/>
          </w:rPr>
          <w:t>View or print the DHS Accounts Receivable contact information</w:t>
        </w:r>
      </w:hyperlink>
      <w:r w:rsidRPr="009D7A51">
        <w:t xml:space="preserve">.  An explanation of refund should be enclosed with the check identifying the </w:t>
      </w:r>
      <w:proofErr w:type="gramStart"/>
      <w:r w:rsidRPr="009D7A51">
        <w:t>patient</w:t>
      </w:r>
      <w:proofErr w:type="gramEnd"/>
      <w:r w:rsidRPr="009D7A51">
        <w:t xml:space="preserve"> name, Medicaid number, date of service and date of Medicaid payment.  Even if the patient cannot wear the lens, once the billing has been submitted, the service will count against the patient’s benefit limit.</w:t>
      </w:r>
    </w:p>
    <w:p w14:paraId="3998E3A8" w14:textId="77777777" w:rsidR="00EF1672" w:rsidRPr="009D7A51" w:rsidRDefault="00EF1672" w:rsidP="00EF1672">
      <w:pPr>
        <w:pStyle w:val="CLETTERED"/>
      </w:pPr>
      <w:r w:rsidRPr="009D7A51">
        <w:t>J.</w:t>
      </w:r>
      <w:r w:rsidRPr="009D7A51">
        <w:tab/>
        <w:t xml:space="preserve">For beneficiaries </w:t>
      </w:r>
      <w:proofErr w:type="gramStart"/>
      <w:r w:rsidRPr="009D7A51">
        <w:t>age</w:t>
      </w:r>
      <w:proofErr w:type="gramEnd"/>
      <w:r w:rsidRPr="009D7A51">
        <w:t xml:space="preserve"> 21 and over, lens replacement will be covered for post-operative cataract (aphakia) patients only and will require prior authorization.  For beneficiaries under age 21, lens replacement will be covered as needed.  For these beneficiaries, prior authorization is required except for post-operative cataract (aphakia) patients.  Medicaid will reimburse the lower of the amount billed or the Medicaid maximum allowable for each procedure.  When billing, the provider should submit the charge for lens replacement only and should not include charges for professional service.</w:t>
      </w:r>
    </w:p>
    <w:p w14:paraId="39626FB6" w14:textId="77777777" w:rsidR="00EF1672" w:rsidRPr="009D7A51" w:rsidRDefault="00EF1672" w:rsidP="00EF1672">
      <w:pPr>
        <w:pStyle w:val="CLETTERED"/>
      </w:pPr>
      <w:r w:rsidRPr="009D7A51">
        <w:t>K.</w:t>
      </w:r>
      <w:r w:rsidRPr="009D7A51">
        <w:tab/>
        <w:t>Refer to Section 240.000 of this manual for the procedure codes, description of services and billing instructions for contact lens.</w:t>
      </w:r>
    </w:p>
    <w:p w14:paraId="10645E21" w14:textId="013B3E34" w:rsidR="00EF1672" w:rsidRPr="009D7A51" w:rsidRDefault="00EF1672" w:rsidP="00EF1672">
      <w:pPr>
        <w:pStyle w:val="CLETTERED"/>
      </w:pPr>
      <w:r w:rsidRPr="009D7A51">
        <w:t>L.</w:t>
      </w:r>
      <w:r w:rsidRPr="009D7A51">
        <w:tab/>
        <w:t xml:space="preserve">Any questions regarding approval or denial of contact lens should be forwarded to the Division of Medical Services, Medical Assistance Unit, attention Visual Care Services.  </w:t>
      </w:r>
      <w:hyperlink r:id="rId20" w:history="1">
        <w:r w:rsidRPr="009D7A51">
          <w:rPr>
            <w:rStyle w:val="Hyperlink"/>
          </w:rPr>
          <w:t>View or print Division of Medical Services, Medical Assistance Unit contact information</w:t>
        </w:r>
      </w:hyperlink>
      <w:r w:rsidRPr="009D7A5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5484F" w:rsidRPr="009D7A51" w14:paraId="4902CA1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7BD6A0" w14:textId="77777777" w:rsidR="0085484F" w:rsidRPr="009D7A51" w:rsidRDefault="0085484F" w:rsidP="008C0E88">
            <w:pPr>
              <w:pStyle w:val="chead2"/>
            </w:pPr>
            <w:bookmarkStart w:id="42" w:name="_Toc199331867"/>
            <w:r w:rsidRPr="009D7A51">
              <w:t>213.000</w:t>
            </w:r>
            <w:r w:rsidRPr="009D7A51">
              <w:tab/>
              <w:t>Adult Program</w:t>
            </w:r>
            <w:bookmarkEnd w:id="39"/>
            <w:bookmarkEnd w:id="42"/>
          </w:p>
        </w:tc>
        <w:tc>
          <w:tcPr>
            <w:tcW w:w="1238" w:type="dxa"/>
            <w:tcBorders>
              <w:top w:val="single" w:sz="2" w:space="0" w:color="FFFFFF"/>
              <w:left w:val="single" w:sz="6" w:space="0" w:color="FFFFFF"/>
              <w:bottom w:val="single" w:sz="2" w:space="0" w:color="FFFFFF"/>
              <w:right w:val="single" w:sz="2" w:space="0" w:color="FFFFFF"/>
            </w:tcBorders>
          </w:tcPr>
          <w:p w14:paraId="2AE5B2A2" w14:textId="77777777" w:rsidR="0085484F" w:rsidRPr="009D7A51" w:rsidRDefault="0085484F" w:rsidP="008C0E88">
            <w:pPr>
              <w:pStyle w:val="cDate2"/>
            </w:pPr>
          </w:p>
        </w:tc>
      </w:tr>
      <w:tr w:rsidR="004228B0" w:rsidRPr="009D7A51" w14:paraId="3315F77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0FBB03" w14:textId="77777777" w:rsidR="004228B0" w:rsidRPr="009D7A51" w:rsidRDefault="004228B0" w:rsidP="007619E7">
            <w:pPr>
              <w:pStyle w:val="chead2"/>
              <w:keepNext/>
            </w:pPr>
            <w:bookmarkStart w:id="43" w:name="_Toc24252737"/>
            <w:bookmarkStart w:id="44" w:name="_Toc102987084"/>
            <w:bookmarkStart w:id="45" w:name="_Toc199331868"/>
            <w:r w:rsidRPr="009D7A51">
              <w:t>213.100</w:t>
            </w:r>
            <w:r w:rsidRPr="009D7A51">
              <w:tab/>
              <w:t>Scope of the Adult Program</w:t>
            </w:r>
            <w:bookmarkEnd w:id="43"/>
            <w:bookmarkEnd w:id="44"/>
            <w:bookmarkEnd w:id="45"/>
          </w:p>
        </w:tc>
        <w:tc>
          <w:tcPr>
            <w:tcW w:w="1238" w:type="dxa"/>
            <w:tcBorders>
              <w:top w:val="single" w:sz="2" w:space="0" w:color="FFFFFF"/>
              <w:left w:val="single" w:sz="6" w:space="0" w:color="FFFFFF"/>
              <w:bottom w:val="single" w:sz="2" w:space="0" w:color="FFFFFF"/>
              <w:right w:val="single" w:sz="2" w:space="0" w:color="FFFFFF"/>
            </w:tcBorders>
          </w:tcPr>
          <w:p w14:paraId="75860FB8" w14:textId="77777777" w:rsidR="004228B0" w:rsidRPr="009D7A51" w:rsidRDefault="004228B0" w:rsidP="007619E7">
            <w:pPr>
              <w:pStyle w:val="cDate2"/>
              <w:keepNext/>
            </w:pPr>
            <w:smartTag w:uri="urn:schemas-microsoft-com:office:smarttags" w:element="date">
              <w:smartTagPr>
                <w:attr w:name="Year" w:val="2006"/>
                <w:attr w:name="Day" w:val="1"/>
                <w:attr w:name="Month" w:val="2"/>
              </w:smartTagPr>
              <w:r w:rsidRPr="009D7A51">
                <w:t>2-1-06</w:t>
              </w:r>
            </w:smartTag>
          </w:p>
        </w:tc>
      </w:tr>
    </w:tbl>
    <w:p w14:paraId="6CC2453F" w14:textId="77777777" w:rsidR="004228B0" w:rsidRPr="009D7A51" w:rsidRDefault="004228B0" w:rsidP="004228B0">
      <w:pPr>
        <w:pStyle w:val="ctext"/>
      </w:pPr>
      <w:r w:rsidRPr="009D7A51">
        <w:t xml:space="preserve">The primary purpose of this program is for the screening, examination, </w:t>
      </w:r>
      <w:proofErr w:type="gramStart"/>
      <w:r w:rsidRPr="009D7A51">
        <w:t>diagnosis</w:t>
      </w:r>
      <w:proofErr w:type="gramEnd"/>
      <w:r w:rsidRPr="009D7A51">
        <w:t xml:space="preserve"> and treatment of conditions of the eye for the prescribing and fitting of eyeglasses, contact lenses and low vision aids for eligible beneficiaries 21 years of age and over.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2FD2" w:rsidRPr="009D7A51" w14:paraId="0CBFC55C" w14:textId="77777777" w:rsidTr="00F05DC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E77F9D" w14:textId="77777777" w:rsidR="009C2FD2" w:rsidRPr="009D7A51" w:rsidRDefault="009C2FD2" w:rsidP="009C2FD2">
            <w:pPr>
              <w:pStyle w:val="chead2"/>
              <w:keepNext/>
            </w:pPr>
            <w:r w:rsidRPr="009D7A51">
              <w:br w:type="page"/>
            </w:r>
            <w:bookmarkStart w:id="46" w:name="_Toc138131552"/>
            <w:bookmarkStart w:id="47" w:name="_Toc235610910"/>
            <w:bookmarkStart w:id="48" w:name="_Toc77933396"/>
            <w:bookmarkStart w:id="49" w:name="_Toc199331869"/>
            <w:r w:rsidRPr="009D7A51">
              <w:t>213.200</w:t>
            </w:r>
            <w:r w:rsidRPr="009D7A51">
              <w:tab/>
              <w:t>Coverage and Limitations of the Adult Program</w:t>
            </w:r>
            <w:bookmarkEnd w:id="46"/>
            <w:bookmarkEnd w:id="47"/>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1317A273" w14:textId="77777777" w:rsidR="009C2FD2" w:rsidRPr="009D7A51" w:rsidRDefault="009C2FD2" w:rsidP="009C2FD2">
            <w:pPr>
              <w:pStyle w:val="cDate2"/>
              <w:keepNext/>
            </w:pPr>
            <w:r w:rsidRPr="009D7A51">
              <w:t>1-1-23</w:t>
            </w:r>
          </w:p>
        </w:tc>
      </w:tr>
    </w:tbl>
    <w:p w14:paraId="34031B03" w14:textId="77777777" w:rsidR="009C2FD2" w:rsidRPr="009D7A51" w:rsidRDefault="009C2FD2" w:rsidP="009C2FD2">
      <w:pPr>
        <w:pStyle w:val="CLETTERED"/>
      </w:pPr>
      <w:r w:rsidRPr="009D7A51">
        <w:t>A.</w:t>
      </w:r>
      <w:r w:rsidRPr="009D7A51">
        <w:tab/>
        <w:t>One visual examination and one pair of glasses are available to eligible Medicaid clients every twelve (12) months.</w:t>
      </w:r>
    </w:p>
    <w:p w14:paraId="76300B97" w14:textId="77777777" w:rsidR="009C2FD2" w:rsidRPr="009D7A51" w:rsidRDefault="009C2FD2" w:rsidP="009C2FD2">
      <w:pPr>
        <w:pStyle w:val="cnumbered"/>
      </w:pPr>
      <w:r w:rsidRPr="009D7A51">
        <w:t>1.</w:t>
      </w:r>
      <w:r w:rsidRPr="009D7A51">
        <w:tab/>
        <w:t>If repairs are needed, the eyeglasses must have been originally purchased through the Arkansas Medicaid Program for repairs to be made.</w:t>
      </w:r>
    </w:p>
    <w:p w14:paraId="2C39A754" w14:textId="77777777" w:rsidR="009C2FD2" w:rsidRPr="009D7A51" w:rsidRDefault="009C2FD2" w:rsidP="009C2FD2">
      <w:pPr>
        <w:pStyle w:val="cnumbered"/>
      </w:pPr>
      <w:r w:rsidRPr="009D7A51">
        <w:t>2.</w:t>
      </w:r>
      <w:r w:rsidRPr="009D7A51">
        <w:tab/>
        <w:t>All repairs will be made by the optical laboratory.</w:t>
      </w:r>
    </w:p>
    <w:p w14:paraId="3AD50494" w14:textId="77777777" w:rsidR="009C2FD2" w:rsidRPr="009D7A51" w:rsidRDefault="009C2FD2" w:rsidP="009C2FD2">
      <w:pPr>
        <w:pStyle w:val="CLETTERED"/>
      </w:pPr>
      <w:r w:rsidRPr="009D7A51">
        <w:lastRenderedPageBreak/>
        <w:t>B.</w:t>
      </w:r>
      <w:r w:rsidRPr="009D7A51">
        <w:tab/>
        <w:t>Lens replacement as medically necessary with prior authorization</w:t>
      </w:r>
    </w:p>
    <w:p w14:paraId="191D6B0C" w14:textId="77777777" w:rsidR="009C2FD2" w:rsidRPr="009D7A51" w:rsidRDefault="009C2FD2" w:rsidP="009C2FD2">
      <w:pPr>
        <w:pStyle w:val="CLETTERED"/>
      </w:pPr>
      <w:r w:rsidRPr="009D7A51">
        <w:t>C.</w:t>
      </w:r>
      <w:r w:rsidRPr="009D7A51">
        <w:tab/>
        <w:t>Lens power for single vision must be a minimum of:</w:t>
      </w:r>
    </w:p>
    <w:p w14:paraId="18A07790" w14:textId="77777777" w:rsidR="009C2FD2" w:rsidRPr="009D7A51" w:rsidRDefault="009C2FD2" w:rsidP="009C2FD2">
      <w:pPr>
        <w:pStyle w:val="cnumbered"/>
      </w:pPr>
      <w:r w:rsidRPr="009D7A51">
        <w:t>1.</w:t>
      </w:r>
      <w:r w:rsidRPr="009D7A51">
        <w:tab/>
        <w:t>+1.00 OR -0.75 sphere</w:t>
      </w:r>
    </w:p>
    <w:p w14:paraId="5F179EBC" w14:textId="77777777" w:rsidR="009C2FD2" w:rsidRPr="009D7A51" w:rsidRDefault="009C2FD2" w:rsidP="009C2FD2">
      <w:pPr>
        <w:pStyle w:val="cnumbered"/>
      </w:pPr>
      <w:r w:rsidRPr="009D7A51">
        <w:t>2.</w:t>
      </w:r>
      <w:r w:rsidRPr="009D7A51">
        <w:tab/>
        <w:t>-0.75 axis 90 or 0.75 axis 180 cylinder or at any axis</w:t>
      </w:r>
    </w:p>
    <w:p w14:paraId="283180D1" w14:textId="77777777" w:rsidR="009C2FD2" w:rsidRPr="009D7A51" w:rsidRDefault="009C2FD2" w:rsidP="009C2FD2">
      <w:pPr>
        <w:pStyle w:val="CLETTERED"/>
      </w:pPr>
      <w:r w:rsidRPr="009D7A51">
        <w:t>D.</w:t>
      </w:r>
      <w:r w:rsidRPr="009D7A51">
        <w:tab/>
        <w:t xml:space="preserve">Tinted lenses, </w:t>
      </w:r>
      <w:proofErr w:type="spellStart"/>
      <w:r w:rsidRPr="009D7A51">
        <w:t>photogray</w:t>
      </w:r>
      <w:proofErr w:type="spellEnd"/>
      <w:r w:rsidRPr="009D7A51">
        <w:t xml:space="preserve"> lenses or sunglasses are limited to post-operative cataract or albino patients</w:t>
      </w:r>
    </w:p>
    <w:p w14:paraId="0E27A8B2" w14:textId="77777777" w:rsidR="009C2FD2" w:rsidRPr="009D7A51" w:rsidRDefault="009C2FD2" w:rsidP="009C2FD2">
      <w:pPr>
        <w:pStyle w:val="CLETTERED"/>
      </w:pPr>
      <w:r w:rsidRPr="009D7A51">
        <w:t>E.</w:t>
      </w:r>
      <w:r w:rsidRPr="009D7A51">
        <w:tab/>
        <w:t>Bifocals for presbyopia must have a power of +1.00 and any changes in bifocals must be in increments of at least +0.50</w:t>
      </w:r>
    </w:p>
    <w:p w14:paraId="227F752E" w14:textId="77777777" w:rsidR="009C2FD2" w:rsidRPr="009D7A51" w:rsidRDefault="009C2FD2" w:rsidP="009C2FD2">
      <w:pPr>
        <w:pStyle w:val="CLETTERED"/>
      </w:pPr>
      <w:r w:rsidRPr="009D7A51">
        <w:t>F.</w:t>
      </w:r>
      <w:r w:rsidRPr="009D7A51">
        <w:tab/>
        <w:t>Bifocal lenses are limited to:</w:t>
      </w:r>
    </w:p>
    <w:p w14:paraId="0EBF2840" w14:textId="77777777" w:rsidR="009C2FD2" w:rsidRPr="009D7A51" w:rsidRDefault="009C2FD2" w:rsidP="009C2FD2">
      <w:pPr>
        <w:pStyle w:val="cnumbered"/>
      </w:pPr>
      <w:r w:rsidRPr="009D7A51">
        <w:t>1.</w:t>
      </w:r>
      <w:r w:rsidRPr="009D7A51">
        <w:tab/>
        <w:t>D-28 and</w:t>
      </w:r>
    </w:p>
    <w:p w14:paraId="5677DE1D" w14:textId="77777777" w:rsidR="009C2FD2" w:rsidRPr="009D7A51" w:rsidRDefault="009C2FD2" w:rsidP="009C2FD2">
      <w:pPr>
        <w:pStyle w:val="cnumbered"/>
      </w:pPr>
      <w:r w:rsidRPr="009D7A51">
        <w:t>2.</w:t>
      </w:r>
      <w:r w:rsidRPr="009D7A51">
        <w:tab/>
      </w:r>
      <w:proofErr w:type="spellStart"/>
      <w:r w:rsidRPr="009D7A51">
        <w:t>Kryptok</w:t>
      </w:r>
      <w:proofErr w:type="spellEnd"/>
    </w:p>
    <w:p w14:paraId="4F90E796" w14:textId="77777777" w:rsidR="009C2FD2" w:rsidRPr="009D7A51" w:rsidRDefault="009C2FD2" w:rsidP="009C2FD2">
      <w:pPr>
        <w:pStyle w:val="CLETTERED"/>
      </w:pPr>
      <w:r w:rsidRPr="009D7A51">
        <w:t>G.</w:t>
      </w:r>
      <w:r w:rsidRPr="009D7A51">
        <w:tab/>
        <w:t>For clients who are eligible for both Medicare and Medicaid, see Section I for coinsurance and deductible information.</w:t>
      </w:r>
    </w:p>
    <w:p w14:paraId="0511324C" w14:textId="77777777" w:rsidR="009C2FD2" w:rsidRPr="009D7A51" w:rsidRDefault="009C2FD2" w:rsidP="009C2FD2">
      <w:pPr>
        <w:pStyle w:val="CLETTERED"/>
      </w:pPr>
      <w:r w:rsidRPr="009D7A51">
        <w:t>H.</w:t>
      </w:r>
      <w:r w:rsidRPr="009D7A51">
        <w:tab/>
        <w:t>Plastic or polycarbonate lenses only are covered under the Arkansas Medicaid Program.</w:t>
      </w:r>
    </w:p>
    <w:p w14:paraId="7FC3480D" w14:textId="77777777" w:rsidR="009C2FD2" w:rsidRPr="009D7A51" w:rsidRDefault="009C2FD2" w:rsidP="009C2FD2">
      <w:pPr>
        <w:pStyle w:val="CLETTERED"/>
      </w:pPr>
      <w:r w:rsidRPr="009D7A51">
        <w:t>I.</w:t>
      </w:r>
      <w:r w:rsidRPr="009D7A51">
        <w:tab/>
        <w:t>Low vision aids are covered on a prior authorization basis.</w:t>
      </w:r>
    </w:p>
    <w:p w14:paraId="01B00EA4" w14:textId="77777777" w:rsidR="009C2FD2" w:rsidRPr="009D7A51" w:rsidRDefault="009C2FD2" w:rsidP="009C2FD2">
      <w:pPr>
        <w:pStyle w:val="CLETTERED"/>
      </w:pPr>
      <w:r w:rsidRPr="009D7A51">
        <w:t>J.</w:t>
      </w:r>
      <w:r w:rsidRPr="009D7A51">
        <w:tab/>
        <w:t>Adult diabetics are eligible (with prior authorization) to receive a second pair of eyeglasses within the twelve (12) month period if their prescription changes more than one diopter.</w:t>
      </w:r>
    </w:p>
    <w:p w14:paraId="5A2E5D0D" w14:textId="77777777" w:rsidR="009C2FD2" w:rsidRPr="009D7A51" w:rsidRDefault="009C2FD2" w:rsidP="009C2FD2">
      <w:pPr>
        <w:pStyle w:val="CLETTERED"/>
      </w:pPr>
      <w:r w:rsidRPr="009D7A51">
        <w:t>K.</w:t>
      </w:r>
      <w:r w:rsidRPr="009D7A51">
        <w:tab/>
        <w:t>One visual prosthetic device every twenty-four (24) months from the last date of service</w:t>
      </w:r>
    </w:p>
    <w:p w14:paraId="3FB4B3C3" w14:textId="77777777" w:rsidR="009C2FD2" w:rsidRPr="009D7A51" w:rsidRDefault="009C2FD2" w:rsidP="009C2FD2">
      <w:pPr>
        <w:pStyle w:val="CLETTERED"/>
      </w:pPr>
      <w:r w:rsidRPr="009D7A51">
        <w:t>L.</w:t>
      </w:r>
      <w:r w:rsidRPr="009D7A51">
        <w:tab/>
        <w:t>Eye prosthesis and polishing services are covered with a prior authorization.</w:t>
      </w:r>
    </w:p>
    <w:p w14:paraId="126109DF" w14:textId="77777777" w:rsidR="009C2FD2" w:rsidRPr="009D7A51" w:rsidRDefault="009C2FD2" w:rsidP="009C2FD2">
      <w:pPr>
        <w:pStyle w:val="CLETTERED"/>
      </w:pPr>
      <w:r w:rsidRPr="009D7A51">
        <w:t>M.</w:t>
      </w:r>
      <w:r w:rsidRPr="009D7A51">
        <w:tab/>
        <w:t>Trifocals are covered if medically necessary with a prior authorization.</w:t>
      </w:r>
    </w:p>
    <w:p w14:paraId="2FC4752C" w14:textId="77777777" w:rsidR="009C2FD2" w:rsidRPr="009D7A51" w:rsidRDefault="009C2FD2" w:rsidP="009C2FD2">
      <w:pPr>
        <w:pStyle w:val="CLETTERED"/>
      </w:pPr>
      <w:r w:rsidRPr="009D7A51">
        <w:t>N.</w:t>
      </w:r>
      <w:r w:rsidRPr="009D7A51">
        <w:tab/>
        <w:t>Progressive lenses are covered if medically necessary with a prior authorization.</w:t>
      </w:r>
    </w:p>
    <w:p w14:paraId="1ECFE590" w14:textId="77777777" w:rsidR="00F12DD8" w:rsidRPr="009D7A51" w:rsidRDefault="009C2FD2" w:rsidP="009C2FD2">
      <w:pPr>
        <w:pStyle w:val="CLETTERED"/>
      </w:pPr>
      <w:r w:rsidRPr="009D7A51">
        <w:t>O.</w:t>
      </w:r>
      <w:r w:rsidRPr="009D7A51">
        <w:tab/>
        <w:t>Contact lenses are covered if medically necessary with a prior authorization.  Please refer to Section 212.000 for contact lens guidelines.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2FD2" w:rsidRPr="009D7A51" w14:paraId="26175DD5" w14:textId="77777777" w:rsidTr="00F05DC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8A69137" w14:textId="77777777" w:rsidR="009C2FD2" w:rsidRPr="009D7A51" w:rsidRDefault="009C2FD2" w:rsidP="009C2FD2">
            <w:pPr>
              <w:pStyle w:val="chead2"/>
            </w:pPr>
            <w:bookmarkStart w:id="50" w:name="_Toc235610911"/>
            <w:bookmarkStart w:id="51" w:name="_Toc138131553"/>
            <w:bookmarkStart w:id="52" w:name="_Toc199331870"/>
            <w:r w:rsidRPr="009D7A51">
              <w:t>213.300</w:t>
            </w:r>
            <w:r w:rsidRPr="009D7A51">
              <w:tab/>
              <w:t>Exclusions in the Adult Program</w:t>
            </w:r>
            <w:bookmarkEnd w:id="50"/>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191DC4E6" w14:textId="77777777" w:rsidR="009C2FD2" w:rsidRPr="009D7A51" w:rsidRDefault="009C2FD2" w:rsidP="009C2FD2">
            <w:pPr>
              <w:pStyle w:val="cDate2"/>
            </w:pPr>
            <w:r w:rsidRPr="009D7A51">
              <w:t>1-1-23</w:t>
            </w:r>
          </w:p>
        </w:tc>
      </w:tr>
    </w:tbl>
    <w:p w14:paraId="697789A5" w14:textId="77777777" w:rsidR="009C2FD2" w:rsidRPr="009D7A51" w:rsidRDefault="00F12DD8" w:rsidP="009C2FD2">
      <w:pPr>
        <w:pStyle w:val="CLETTERED"/>
      </w:pPr>
      <w:r w:rsidRPr="009D7A51">
        <w:t>A.</w:t>
      </w:r>
      <w:r w:rsidRPr="009D7A51">
        <w:tab/>
      </w:r>
      <w:r w:rsidR="009C2FD2" w:rsidRPr="009D7A51">
        <w:t xml:space="preserve">The Medicaid Program will not reimburse for replacement glasses, </w:t>
      </w:r>
      <w:proofErr w:type="gramStart"/>
      <w:r w:rsidR="009C2FD2" w:rsidRPr="009D7A51">
        <w:t>with the exception of</w:t>
      </w:r>
      <w:proofErr w:type="gramEnd"/>
      <w:r w:rsidR="009C2FD2" w:rsidRPr="009D7A51">
        <w:t xml:space="preserve"> post-cataract patients, which will require prior authorization. </w:t>
      </w:r>
    </w:p>
    <w:p w14:paraId="29E873E8" w14:textId="77777777" w:rsidR="009C2FD2" w:rsidRPr="009D7A51" w:rsidRDefault="009C2FD2" w:rsidP="009C2FD2">
      <w:pPr>
        <w:pStyle w:val="CLETTERED"/>
      </w:pPr>
      <w:r w:rsidRPr="009D7A51">
        <w:t>B.</w:t>
      </w:r>
      <w:r w:rsidRPr="009D7A51">
        <w:tab/>
        <w:t xml:space="preserve">Lenses may not be purchased separately from the frames.  If the client desires </w:t>
      </w:r>
      <w:proofErr w:type="gramStart"/>
      <w:r w:rsidRPr="009D7A51">
        <w:t>frames</w:t>
      </w:r>
      <w:proofErr w:type="gramEnd"/>
      <w:r w:rsidRPr="009D7A51">
        <w:t xml:space="preserve"> other than the frames approved by Medicaid, he or she will be responsible for the lenses also.  Medicaid will reimburse the provider for the examination in these situations.</w:t>
      </w:r>
    </w:p>
    <w:p w14:paraId="55B35383" w14:textId="77777777" w:rsidR="009C2FD2" w:rsidRPr="009D7A51" w:rsidRDefault="009C2FD2" w:rsidP="009C2FD2">
      <w:pPr>
        <w:pStyle w:val="CLETTERED"/>
      </w:pPr>
      <w:r w:rsidRPr="009D7A51">
        <w:t>C.</w:t>
      </w:r>
      <w:r w:rsidRPr="009D7A51">
        <w:tab/>
        <w:t xml:space="preserve">Medicaid will not pay the prescription service charges in situations where the patient buys the eyeglasses.  </w:t>
      </w:r>
    </w:p>
    <w:p w14:paraId="5B97A653" w14:textId="77777777" w:rsidR="009C2FD2" w:rsidRPr="009D7A51" w:rsidRDefault="009C2FD2" w:rsidP="009C2FD2">
      <w:pPr>
        <w:pStyle w:val="CLETTERED"/>
      </w:pPr>
      <w:r w:rsidRPr="009D7A51">
        <w:t>D.</w:t>
      </w:r>
      <w:r w:rsidRPr="009D7A51">
        <w:tab/>
        <w:t>Medicaid does not cover charges incurred due to errors made by doctors or optical laboratories.</w:t>
      </w:r>
    </w:p>
    <w:p w14:paraId="63D4A0E8" w14:textId="77777777" w:rsidR="009C2FD2" w:rsidRPr="009D7A51" w:rsidRDefault="009C2FD2" w:rsidP="009C2FD2">
      <w:pPr>
        <w:pStyle w:val="CLETTERED"/>
      </w:pPr>
      <w:r w:rsidRPr="009D7A51">
        <w:t>E.</w:t>
      </w:r>
      <w:r w:rsidRPr="009D7A51">
        <w:tab/>
        <w:t>Tinted lenses for cosmetics purposes are not covered.</w:t>
      </w:r>
    </w:p>
    <w:p w14:paraId="6F2DCD8E" w14:textId="77777777" w:rsidR="00F12DD8" w:rsidRPr="009D7A51" w:rsidRDefault="009C2FD2" w:rsidP="009C2FD2">
      <w:pPr>
        <w:pStyle w:val="CLETTERED"/>
      </w:pPr>
      <w:proofErr w:type="gramStart"/>
      <w:r w:rsidRPr="009D7A51">
        <w:t>F.</w:t>
      </w:r>
      <w:r w:rsidRPr="009D7A51">
        <w:tab/>
        <w:t>Glass lenses are NOT covered by Medicaid</w:t>
      </w:r>
      <w:proofErr w:type="gramEnd"/>
      <w:r w:rsidRPr="009D7A5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5484F" w:rsidRPr="009D7A51" w14:paraId="0D8FB3F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B33A24B" w14:textId="77777777" w:rsidR="0085484F" w:rsidRPr="009D7A51" w:rsidRDefault="0085484F" w:rsidP="008C0E88">
            <w:pPr>
              <w:pStyle w:val="chead2"/>
            </w:pPr>
            <w:bookmarkStart w:id="53" w:name="_Toc24252740"/>
            <w:bookmarkStart w:id="54" w:name="_Toc199331871"/>
            <w:r w:rsidRPr="009D7A51">
              <w:t>214.000</w:t>
            </w:r>
            <w:r w:rsidRPr="009D7A51">
              <w:tab/>
              <w:t>Under Age 21 Program</w:t>
            </w:r>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16E5EBB1" w14:textId="77777777" w:rsidR="0085484F" w:rsidRPr="009D7A51" w:rsidRDefault="0085484F" w:rsidP="008C0E88">
            <w:pPr>
              <w:pStyle w:val="cDate2"/>
            </w:pPr>
          </w:p>
        </w:tc>
      </w:tr>
      <w:tr w:rsidR="005F00B6" w:rsidRPr="009D7A51" w14:paraId="3691691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F84D05" w14:textId="77777777" w:rsidR="005F00B6" w:rsidRPr="009D7A51" w:rsidRDefault="005F00B6" w:rsidP="006D2380">
            <w:pPr>
              <w:pStyle w:val="chead2"/>
            </w:pPr>
            <w:bookmarkStart w:id="55" w:name="_Toc138131555"/>
            <w:bookmarkStart w:id="56" w:name="_Toc199331872"/>
            <w:r w:rsidRPr="009D7A51">
              <w:lastRenderedPageBreak/>
              <w:t>214.100</w:t>
            </w:r>
            <w:r w:rsidRPr="009D7A51">
              <w:tab/>
              <w:t>Scope of the Under Age 21 Program</w:t>
            </w:r>
            <w:bookmarkEnd w:id="55"/>
            <w:bookmarkEnd w:id="56"/>
          </w:p>
        </w:tc>
        <w:tc>
          <w:tcPr>
            <w:tcW w:w="1238" w:type="dxa"/>
            <w:tcBorders>
              <w:top w:val="single" w:sz="2" w:space="0" w:color="FFFFFF"/>
              <w:left w:val="single" w:sz="6" w:space="0" w:color="FFFFFF"/>
              <w:bottom w:val="single" w:sz="2" w:space="0" w:color="FFFFFF"/>
              <w:right w:val="single" w:sz="2" w:space="0" w:color="FFFFFF"/>
            </w:tcBorders>
          </w:tcPr>
          <w:p w14:paraId="3CAF926E" w14:textId="77777777" w:rsidR="005F00B6" w:rsidRPr="009D7A51" w:rsidRDefault="005F00B6" w:rsidP="006D2380">
            <w:pPr>
              <w:pStyle w:val="cDate2"/>
            </w:pPr>
            <w:smartTag w:uri="urn:schemas-microsoft-com:office:smarttags" w:element="date">
              <w:smartTagPr>
                <w:attr w:name="Year" w:val="2006"/>
                <w:attr w:name="Day" w:val="1"/>
                <w:attr w:name="Month" w:val="12"/>
              </w:smartTagPr>
              <w:r w:rsidRPr="009D7A51">
                <w:t>12-1-06</w:t>
              </w:r>
            </w:smartTag>
          </w:p>
        </w:tc>
      </w:tr>
    </w:tbl>
    <w:p w14:paraId="03797D1D" w14:textId="77777777" w:rsidR="005F00B6" w:rsidRPr="009D7A51" w:rsidRDefault="005F00B6" w:rsidP="005F00B6">
      <w:pPr>
        <w:pStyle w:val="ctext"/>
      </w:pPr>
      <w:r w:rsidRPr="009D7A51">
        <w:t xml:space="preserve">The primary purpose of this program is for the screening, examination, </w:t>
      </w:r>
      <w:proofErr w:type="gramStart"/>
      <w:r w:rsidRPr="009D7A51">
        <w:t>diagnosis</w:t>
      </w:r>
      <w:proofErr w:type="gramEnd"/>
      <w:r w:rsidRPr="009D7A51">
        <w:t xml:space="preserve"> and treatment of conditions of the eye for the prescribing and fitting of eyeglasses, contact lenses and low vision aids for eligible beneficiaries under 21 years of 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04458" w:rsidRPr="009D7A51" w14:paraId="789751D0" w14:textId="77777777" w:rsidTr="00C0262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6C16845" w14:textId="77777777" w:rsidR="00F04458" w:rsidRPr="009D7A51" w:rsidRDefault="00F04458" w:rsidP="00F04458">
            <w:pPr>
              <w:pStyle w:val="chead2"/>
            </w:pPr>
            <w:bookmarkStart w:id="57" w:name="_Toc441058292"/>
            <w:bookmarkStart w:id="58" w:name="_Toc235610914"/>
            <w:bookmarkStart w:id="59" w:name="_Toc208731025"/>
            <w:bookmarkStart w:id="60" w:name="_Toc138131556"/>
            <w:bookmarkStart w:id="61" w:name="_Toc199331873"/>
            <w:r w:rsidRPr="009D7A51">
              <w:t>214.200</w:t>
            </w:r>
            <w:r w:rsidRPr="009D7A51">
              <w:tab/>
              <w:t>Coverage and Limitations of the Under Age 21 Program</w:t>
            </w:r>
            <w:bookmarkEnd w:id="57"/>
            <w:bookmarkEnd w:id="58"/>
            <w:bookmarkEnd w:id="59"/>
            <w:bookmarkEnd w:id="60"/>
            <w:bookmarkEnd w:id="61"/>
          </w:p>
        </w:tc>
        <w:tc>
          <w:tcPr>
            <w:tcW w:w="1238" w:type="dxa"/>
            <w:tcBorders>
              <w:top w:val="single" w:sz="2" w:space="0" w:color="FFFFFF"/>
              <w:left w:val="single" w:sz="6" w:space="0" w:color="FFFFFF"/>
              <w:bottom w:val="single" w:sz="2" w:space="0" w:color="FFFFFF"/>
              <w:right w:val="single" w:sz="2" w:space="0" w:color="FFFFFF"/>
            </w:tcBorders>
          </w:tcPr>
          <w:p w14:paraId="24CA1BC0" w14:textId="77777777" w:rsidR="00F04458" w:rsidRPr="009D7A51" w:rsidRDefault="00F04458" w:rsidP="00F04458">
            <w:pPr>
              <w:pStyle w:val="cDate2"/>
            </w:pPr>
            <w:r w:rsidRPr="009D7A51">
              <w:t>1-1-23</w:t>
            </w:r>
          </w:p>
        </w:tc>
      </w:tr>
    </w:tbl>
    <w:p w14:paraId="602A9A30" w14:textId="77777777" w:rsidR="00F04458" w:rsidRPr="009D7A51" w:rsidRDefault="00430682" w:rsidP="00F04458">
      <w:pPr>
        <w:pStyle w:val="CLETTERED"/>
      </w:pPr>
      <w:r w:rsidRPr="009D7A51">
        <w:t>A.</w:t>
      </w:r>
      <w:r w:rsidRPr="009D7A51">
        <w:tab/>
      </w:r>
      <w:r w:rsidR="00F04458" w:rsidRPr="009D7A51">
        <w:t>One examination and one pair of glasses are available to eligible Medicaid beneficiaries every twelve (12) months.</w:t>
      </w:r>
    </w:p>
    <w:p w14:paraId="5D6A0691" w14:textId="77777777" w:rsidR="00F04458" w:rsidRPr="009D7A51" w:rsidRDefault="00F04458" w:rsidP="00F04458">
      <w:pPr>
        <w:pStyle w:val="cnumbered"/>
      </w:pPr>
      <w:r w:rsidRPr="009D7A51">
        <w:t>1.</w:t>
      </w:r>
      <w:r w:rsidRPr="009D7A51">
        <w:tab/>
        <w:t xml:space="preserve">If repairs are needed, the eyeglasses must have been originally purchased through the Arkansas Medicaid Program </w:t>
      </w:r>
      <w:proofErr w:type="gramStart"/>
      <w:r w:rsidRPr="009D7A51">
        <w:t>in order for</w:t>
      </w:r>
      <w:proofErr w:type="gramEnd"/>
      <w:r w:rsidRPr="009D7A51">
        <w:t xml:space="preserve"> repairs to be made.</w:t>
      </w:r>
    </w:p>
    <w:p w14:paraId="478ACE6E" w14:textId="77777777" w:rsidR="00F04458" w:rsidRPr="009D7A51" w:rsidRDefault="00F04458" w:rsidP="00F04458">
      <w:pPr>
        <w:pStyle w:val="cnumbered"/>
      </w:pPr>
      <w:r w:rsidRPr="009D7A51">
        <w:t>2.</w:t>
      </w:r>
      <w:r w:rsidRPr="009D7A51">
        <w:tab/>
        <w:t xml:space="preserve">If the glasses are lost or broken beyond repair within the twelve (12)-month benefit limit period, one additional pair will be available through the optical laboratory.  After the first replacement pair, any additional pair will require prior </w:t>
      </w:r>
      <w:proofErr w:type="gramStart"/>
      <w:r w:rsidRPr="009D7A51">
        <w:t>authorization..</w:t>
      </w:r>
      <w:proofErr w:type="gramEnd"/>
    </w:p>
    <w:p w14:paraId="331E1F10" w14:textId="77777777" w:rsidR="00F04458" w:rsidRPr="009D7A51" w:rsidRDefault="00F04458" w:rsidP="00F04458">
      <w:pPr>
        <w:pStyle w:val="cnumbered"/>
      </w:pPr>
      <w:r w:rsidRPr="009D7A51">
        <w:t>3.</w:t>
      </w:r>
      <w:r w:rsidRPr="009D7A51">
        <w:tab/>
        <w:t>All replacements will be made by the optical laboratory and the doctor’s office may make repairs only when necessary.</w:t>
      </w:r>
    </w:p>
    <w:p w14:paraId="259A7F22" w14:textId="77777777" w:rsidR="00F04458" w:rsidRPr="009D7A51" w:rsidRDefault="00F04458" w:rsidP="00F04458">
      <w:pPr>
        <w:pStyle w:val="cnumbered"/>
      </w:pPr>
      <w:r w:rsidRPr="009D7A51">
        <w:t>4.</w:t>
      </w:r>
      <w:r w:rsidRPr="009D7A51">
        <w:tab/>
        <w:t xml:space="preserve">Only </w:t>
      </w:r>
      <w:proofErr w:type="spellStart"/>
      <w:r w:rsidRPr="009D7A51">
        <w:t>ARKids</w:t>
      </w:r>
      <w:proofErr w:type="spellEnd"/>
      <w:r w:rsidRPr="009D7A51">
        <w:t xml:space="preserve"> First-B beneficiaries will be assessed a ten-dollar ($10.00) co-pay.  All co-pays will be applied to examination codes rather than to tests or procedures.</w:t>
      </w:r>
    </w:p>
    <w:p w14:paraId="330BF86B" w14:textId="77777777" w:rsidR="00F04458" w:rsidRPr="009D7A51" w:rsidRDefault="00F04458" w:rsidP="00F04458">
      <w:pPr>
        <w:pStyle w:val="CLETTERED"/>
      </w:pPr>
      <w:r w:rsidRPr="009D7A51">
        <w:t>B.</w:t>
      </w:r>
      <w:r w:rsidRPr="009D7A51">
        <w:tab/>
        <w:t>Prescriptive and acuity minimums must be met before glasses will be furnished.  Glasses should be prescribed only if the following conditions apply:</w:t>
      </w:r>
    </w:p>
    <w:p w14:paraId="6D45FC22" w14:textId="77777777" w:rsidR="00F04458" w:rsidRPr="009D7A51" w:rsidRDefault="00F04458" w:rsidP="00F04458">
      <w:pPr>
        <w:pStyle w:val="cnumbered"/>
      </w:pPr>
      <w:r w:rsidRPr="009D7A51">
        <w:t>1.</w:t>
      </w:r>
      <w:r w:rsidRPr="009D7A51">
        <w:tab/>
        <w:t xml:space="preserve">The strength of the prescribed lens (for the poorer eye) should be a minimum of </w:t>
      </w:r>
      <w:r w:rsidRPr="009D7A51">
        <w:br/>
        <w:t>-.75D + 1.00D spherical or a minimum of .75 cylindrical or the unaided visual acuity of the poorer eye should be worse than 20/30 at a distance.</w:t>
      </w:r>
    </w:p>
    <w:p w14:paraId="30E68755" w14:textId="77777777" w:rsidR="00F04458" w:rsidRPr="009D7A51" w:rsidRDefault="00F04458" w:rsidP="00F04458">
      <w:pPr>
        <w:pStyle w:val="cnumbered"/>
      </w:pPr>
      <w:r w:rsidRPr="009D7A51">
        <w:t>2.</w:t>
      </w:r>
      <w:r w:rsidRPr="009D7A51">
        <w:tab/>
        <w:t>Reading glasses may be furnished based on the merits of the individual case.  The doctor should indicate why such corrections are necessary.  All such requests will be reviewed on a prior approval basis.</w:t>
      </w:r>
    </w:p>
    <w:p w14:paraId="16E29FC6" w14:textId="77777777" w:rsidR="00F04458" w:rsidRPr="009D7A51" w:rsidRDefault="00F04458" w:rsidP="00F04458">
      <w:pPr>
        <w:pStyle w:val="CLETTERED"/>
      </w:pPr>
      <w:r w:rsidRPr="009D7A51">
        <w:t>C.</w:t>
      </w:r>
      <w:r w:rsidRPr="009D7A51">
        <w:tab/>
        <w:t xml:space="preserve">Plastic or polycarbonate lenses </w:t>
      </w:r>
      <w:r w:rsidRPr="009D7A51">
        <w:rPr>
          <w:u w:val="single"/>
        </w:rPr>
        <w:t>only</w:t>
      </w:r>
      <w:r w:rsidRPr="009D7A51">
        <w:t xml:space="preserve"> are covered under the Arkansas Medicaid Program.</w:t>
      </w:r>
    </w:p>
    <w:p w14:paraId="0F1824E2" w14:textId="77777777" w:rsidR="00F04458" w:rsidRPr="009D7A51" w:rsidRDefault="00F04458" w:rsidP="00F04458">
      <w:pPr>
        <w:pStyle w:val="CLETTERED"/>
      </w:pPr>
      <w:r w:rsidRPr="009D7A51">
        <w:t>D.</w:t>
      </w:r>
      <w:r w:rsidRPr="009D7A51">
        <w:tab/>
        <w:t>When the prescription has met the prescriptive and acuity minimum qualifications, Medicaid will purchase eyeglasses through a negotiated contract with an optical laboratory.</w:t>
      </w:r>
    </w:p>
    <w:p w14:paraId="2C4B9D30" w14:textId="77777777" w:rsidR="00F04458" w:rsidRPr="009D7A51" w:rsidRDefault="00F04458" w:rsidP="00F04458">
      <w:pPr>
        <w:pStyle w:val="CLETTERED"/>
      </w:pPr>
      <w:r w:rsidRPr="009D7A51">
        <w:t>E.</w:t>
      </w:r>
      <w:r w:rsidRPr="009D7A51">
        <w:tab/>
        <w:t>The eyeglasses will be forwarded to the doctor’s office where he or she will be required to verify the prescription and fit or adjust them to the patient’s needs.</w:t>
      </w:r>
    </w:p>
    <w:p w14:paraId="6BD9FEEB" w14:textId="77777777" w:rsidR="00F04458" w:rsidRPr="009D7A51" w:rsidRDefault="00F04458" w:rsidP="00F04458">
      <w:pPr>
        <w:pStyle w:val="CLETTERED"/>
      </w:pPr>
      <w:r w:rsidRPr="009D7A51">
        <w:t>F.</w:t>
      </w:r>
      <w:r w:rsidRPr="009D7A51">
        <w:tab/>
        <w:t>Eye prosthesis and polishing services require a prior authorization.</w:t>
      </w:r>
    </w:p>
    <w:p w14:paraId="25157E53" w14:textId="77777777" w:rsidR="00F04458" w:rsidRPr="009D7A51" w:rsidRDefault="00F04458" w:rsidP="00F04458">
      <w:pPr>
        <w:pStyle w:val="CLETTERED"/>
      </w:pPr>
      <w:r w:rsidRPr="009D7A51">
        <w:t>G.</w:t>
      </w:r>
      <w:r w:rsidRPr="009D7A51">
        <w:tab/>
        <w:t>Contact lenses are covered if medically necessary with a prior authorization.  Please refer to Section 212.000 for contact lens guidelines.</w:t>
      </w:r>
    </w:p>
    <w:p w14:paraId="449C00DB" w14:textId="77777777" w:rsidR="00F04458" w:rsidRPr="009D7A51" w:rsidRDefault="00F04458" w:rsidP="00F04458">
      <w:pPr>
        <w:pStyle w:val="CLETTERED"/>
      </w:pPr>
      <w:r w:rsidRPr="009D7A51">
        <w:t>H.</w:t>
      </w:r>
      <w:r w:rsidRPr="009D7A51">
        <w:tab/>
        <w:t>Eyeglasses for children diagnosed as having the following diagnoses must have a surgical evaluation in conjunction with supplying eyeglasses.</w:t>
      </w:r>
    </w:p>
    <w:p w14:paraId="2FD9AF12" w14:textId="77777777" w:rsidR="00F04458" w:rsidRPr="009D7A51" w:rsidRDefault="00F04458" w:rsidP="00F04458">
      <w:pPr>
        <w:pStyle w:val="cnumbered"/>
        <w:rPr>
          <w:lang w:val="es-ES"/>
        </w:rPr>
      </w:pPr>
      <w:r w:rsidRPr="009D7A51">
        <w:rPr>
          <w:lang w:val="es-ES"/>
        </w:rPr>
        <w:t>1.</w:t>
      </w:r>
      <w:r w:rsidRPr="009D7A51">
        <w:rPr>
          <w:lang w:val="es-ES"/>
        </w:rPr>
        <w:tab/>
      </w:r>
      <w:proofErr w:type="spellStart"/>
      <w:r w:rsidRPr="009D7A51">
        <w:rPr>
          <w:lang w:val="es-ES"/>
        </w:rPr>
        <w:t>Ptosis</w:t>
      </w:r>
      <w:proofErr w:type="spellEnd"/>
      <w:r w:rsidRPr="009D7A51">
        <w:rPr>
          <w:lang w:val="es-ES"/>
        </w:rPr>
        <w:t xml:space="preserve"> (</w:t>
      </w:r>
      <w:proofErr w:type="spellStart"/>
      <w:r w:rsidRPr="009D7A51">
        <w:rPr>
          <w:lang w:val="es-ES"/>
        </w:rPr>
        <w:t>droopy</w:t>
      </w:r>
      <w:proofErr w:type="spellEnd"/>
      <w:r w:rsidRPr="009D7A51">
        <w:rPr>
          <w:lang w:val="es-ES"/>
        </w:rPr>
        <w:t xml:space="preserve"> lid)</w:t>
      </w:r>
    </w:p>
    <w:p w14:paraId="4D1E1364" w14:textId="77777777" w:rsidR="00F04458" w:rsidRPr="009D7A51" w:rsidRDefault="00F04458" w:rsidP="00F04458">
      <w:pPr>
        <w:pStyle w:val="cnumbered"/>
        <w:rPr>
          <w:lang w:val="es-ES"/>
        </w:rPr>
      </w:pPr>
      <w:r w:rsidRPr="009D7A51">
        <w:rPr>
          <w:lang w:val="es-ES"/>
        </w:rPr>
        <w:t>2.</w:t>
      </w:r>
      <w:r w:rsidRPr="009D7A51">
        <w:rPr>
          <w:lang w:val="es-ES"/>
        </w:rPr>
        <w:tab/>
      </w:r>
      <w:proofErr w:type="spellStart"/>
      <w:r w:rsidRPr="009D7A51">
        <w:rPr>
          <w:lang w:val="es-ES"/>
        </w:rPr>
        <w:t>Congenital</w:t>
      </w:r>
      <w:proofErr w:type="spellEnd"/>
      <w:r w:rsidRPr="009D7A51">
        <w:rPr>
          <w:lang w:val="es-ES"/>
        </w:rPr>
        <w:t xml:space="preserve"> </w:t>
      </w:r>
      <w:proofErr w:type="spellStart"/>
      <w:r w:rsidRPr="009D7A51">
        <w:rPr>
          <w:lang w:val="es-ES"/>
        </w:rPr>
        <w:t>cataracts</w:t>
      </w:r>
      <w:proofErr w:type="spellEnd"/>
    </w:p>
    <w:p w14:paraId="15DAB29B" w14:textId="77777777" w:rsidR="00F04458" w:rsidRPr="009D7A51" w:rsidRDefault="00F04458" w:rsidP="00F04458">
      <w:pPr>
        <w:pStyle w:val="cnumbered"/>
        <w:rPr>
          <w:lang w:val="es-ES"/>
        </w:rPr>
      </w:pPr>
      <w:r w:rsidRPr="009D7A51">
        <w:rPr>
          <w:lang w:val="es-ES"/>
        </w:rPr>
        <w:t>3.</w:t>
      </w:r>
      <w:r w:rsidRPr="009D7A51">
        <w:rPr>
          <w:lang w:val="es-ES"/>
        </w:rPr>
        <w:tab/>
      </w:r>
      <w:proofErr w:type="spellStart"/>
      <w:r w:rsidRPr="009D7A51">
        <w:rPr>
          <w:lang w:val="es-ES"/>
        </w:rPr>
        <w:t>Exotropia</w:t>
      </w:r>
      <w:proofErr w:type="spellEnd"/>
      <w:r w:rsidRPr="009D7A51">
        <w:rPr>
          <w:lang w:val="es-ES"/>
        </w:rPr>
        <w:t xml:space="preserve"> </w:t>
      </w:r>
      <w:proofErr w:type="spellStart"/>
      <w:r w:rsidRPr="009D7A51">
        <w:rPr>
          <w:lang w:val="es-ES"/>
        </w:rPr>
        <w:t>or</w:t>
      </w:r>
      <w:proofErr w:type="spellEnd"/>
      <w:r w:rsidRPr="009D7A51">
        <w:rPr>
          <w:lang w:val="es-ES"/>
        </w:rPr>
        <w:t xml:space="preserve"> vertical </w:t>
      </w:r>
      <w:proofErr w:type="spellStart"/>
      <w:r w:rsidRPr="009D7A51">
        <w:rPr>
          <w:lang w:val="es-ES"/>
        </w:rPr>
        <w:t>tropia</w:t>
      </w:r>
      <w:proofErr w:type="spellEnd"/>
    </w:p>
    <w:p w14:paraId="02029E88" w14:textId="77777777" w:rsidR="00F04458" w:rsidRPr="009D7A51" w:rsidRDefault="00F04458" w:rsidP="00F04458">
      <w:pPr>
        <w:pStyle w:val="cnumbered"/>
      </w:pPr>
      <w:r w:rsidRPr="009D7A51">
        <w:t>4.</w:t>
      </w:r>
      <w:r w:rsidRPr="009D7A51">
        <w:tab/>
        <w:t>Children between the ages of twelve (12) and twenty-one (21) exhibiting exotropia</w:t>
      </w:r>
    </w:p>
    <w:p w14:paraId="3988800E" w14:textId="77777777" w:rsidR="00F04458" w:rsidRPr="009D7A51" w:rsidRDefault="00F04458" w:rsidP="00F04458">
      <w:pPr>
        <w:pStyle w:val="CLETTERED"/>
      </w:pPr>
      <w:r w:rsidRPr="009D7A51">
        <w:t>I.</w:t>
      </w:r>
      <w:r w:rsidRPr="009D7A51">
        <w:tab/>
        <w:t xml:space="preserve">Prior authorized orthoptic and/or </w:t>
      </w:r>
      <w:proofErr w:type="spellStart"/>
      <w:r w:rsidRPr="009D7A51">
        <w:t>pleoptic</w:t>
      </w:r>
      <w:proofErr w:type="spellEnd"/>
      <w:r w:rsidRPr="009D7A51">
        <w:t xml:space="preserve"> training may be performed only in the office of a licensed optometrist or ophthalmologist for Medicaid eligible children ages twenty (20) and under and for CHIP eligible children ages eighteen (18) and under.</w:t>
      </w:r>
    </w:p>
    <w:p w14:paraId="44A558DA" w14:textId="77777777" w:rsidR="00F04458" w:rsidRPr="009D7A51" w:rsidRDefault="00F04458" w:rsidP="00F04458">
      <w:pPr>
        <w:pStyle w:val="cnumbered"/>
      </w:pPr>
      <w:r w:rsidRPr="009D7A51">
        <w:lastRenderedPageBreak/>
        <w:t>1.</w:t>
      </w:r>
      <w:r w:rsidRPr="009D7A51">
        <w:tab/>
        <w:t>The initial prior authorization request must include objective and subjective measurements and tests used to indicate diagnosis.</w:t>
      </w:r>
    </w:p>
    <w:p w14:paraId="164E83C8" w14:textId="77777777" w:rsidR="00F04458" w:rsidRPr="009D7A51" w:rsidRDefault="00F04458" w:rsidP="00F04458">
      <w:pPr>
        <w:pStyle w:val="cnumbered"/>
      </w:pPr>
      <w:r w:rsidRPr="009D7A51">
        <w:t>2.</w:t>
      </w:r>
      <w:r w:rsidRPr="009D7A51">
        <w:tab/>
        <w:t>The initial prior authorization approved for this treatment will consist of sixteen (16) treatments in a twelve (12)-month period with no more than one treatment per seven (7) calendar days.</w:t>
      </w:r>
    </w:p>
    <w:p w14:paraId="5D22484D" w14:textId="77777777" w:rsidR="00F04458" w:rsidRPr="009D7A51" w:rsidRDefault="00F04458" w:rsidP="00F04458">
      <w:pPr>
        <w:pStyle w:val="cnumbered"/>
      </w:pPr>
      <w:r w:rsidRPr="009D7A51">
        <w:t>3.</w:t>
      </w:r>
      <w:r w:rsidRPr="009D7A51">
        <w:tab/>
        <w:t>An extension of benefits may be requested for medical necessity.</w:t>
      </w:r>
    </w:p>
    <w:p w14:paraId="073C981B" w14:textId="77777777" w:rsidR="00F04458" w:rsidRPr="009D7A51" w:rsidRDefault="00F04458" w:rsidP="00F04458">
      <w:pPr>
        <w:pStyle w:val="cnumbered"/>
      </w:pPr>
      <w:r w:rsidRPr="009D7A51">
        <w:t>4.</w:t>
      </w:r>
      <w:r w:rsidRPr="009D7A51">
        <w:tab/>
        <w:t>Requests for extension of benefits must include the initial objective and subjective measures with diagnosis along with subjective and objective measures after the initial sixteen (16) treatments are completed to show progress and the need for, or benefit of, further treatment.</w:t>
      </w:r>
    </w:p>
    <w:p w14:paraId="3AA3E707" w14:textId="77777777" w:rsidR="00F04458" w:rsidRPr="009D7A51" w:rsidRDefault="00F04458" w:rsidP="00F04458">
      <w:pPr>
        <w:pStyle w:val="cnumbered"/>
      </w:pPr>
      <w:r w:rsidRPr="009D7A51">
        <w:t>5.</w:t>
      </w:r>
      <w:r w:rsidRPr="009D7A51">
        <w:tab/>
        <w:t xml:space="preserve">For a list of diagnoses that are covered for orthoptic and/or </w:t>
      </w:r>
      <w:proofErr w:type="spellStart"/>
      <w:r w:rsidRPr="009D7A51">
        <w:t>pleoptic</w:t>
      </w:r>
      <w:proofErr w:type="spellEnd"/>
      <w:r w:rsidRPr="009D7A51">
        <w:t xml:space="preserve"> training </w:t>
      </w:r>
      <w:hyperlink r:id="rId21" w:history="1">
        <w:r w:rsidRPr="009D7A51">
          <w:rPr>
            <w:rStyle w:val="Hyperlink"/>
          </w:rPr>
          <w:t>(View ICD Codes.)</w:t>
        </w:r>
      </w:hyperlink>
      <w:r w:rsidRPr="009D7A51">
        <w:t>.</w:t>
      </w:r>
    </w:p>
    <w:p w14:paraId="3CE2B941" w14:textId="77777777" w:rsidR="00F04458" w:rsidRPr="009D7A51" w:rsidRDefault="00F04458" w:rsidP="00F04458">
      <w:pPr>
        <w:pStyle w:val="CLETTERED"/>
      </w:pPr>
      <w:r w:rsidRPr="009D7A51">
        <w:t>J.</w:t>
      </w:r>
      <w:r w:rsidRPr="009D7A51">
        <w:tab/>
        <w:t>Prior authorized sensorimotor examination may be performed only in the office of a licensed optometrist or ophthalmologist for Medicaid eligible children ages twenty (20) and under and for CHIP eligible children ages eighteen (18) and under who have received a covered diagnosis based on specific observed and documented symptoms.</w:t>
      </w:r>
    </w:p>
    <w:p w14:paraId="60E9D7EA" w14:textId="77777777" w:rsidR="00F04458" w:rsidRPr="009D7A51" w:rsidRDefault="00F04458" w:rsidP="00F04458">
      <w:pPr>
        <w:pStyle w:val="cnumbered"/>
      </w:pPr>
      <w:r w:rsidRPr="009D7A51">
        <w:t>1.</w:t>
      </w:r>
      <w:r w:rsidRPr="009D7A51">
        <w:tab/>
        <w:t>Benefit limit of one (1) sensorimotor examination in a twelve (12) month period.</w:t>
      </w:r>
    </w:p>
    <w:p w14:paraId="060D1C08" w14:textId="77777777" w:rsidR="00F04458" w:rsidRPr="009D7A51" w:rsidRDefault="00F04458" w:rsidP="00F04458">
      <w:pPr>
        <w:pStyle w:val="cnumbered"/>
      </w:pPr>
      <w:r w:rsidRPr="009D7A51">
        <w:t>2.</w:t>
      </w:r>
      <w:r w:rsidRPr="009D7A51">
        <w:tab/>
        <w:t>An extension of benefits may be requested for medical necessity.</w:t>
      </w:r>
    </w:p>
    <w:p w14:paraId="3FF90139" w14:textId="77777777" w:rsidR="00F04458" w:rsidRPr="009D7A51" w:rsidRDefault="00F04458" w:rsidP="00F04458">
      <w:pPr>
        <w:pStyle w:val="cnumbered"/>
      </w:pPr>
      <w:r w:rsidRPr="009D7A51">
        <w:t>3.</w:t>
      </w:r>
      <w:r w:rsidRPr="009D7A51">
        <w:tab/>
        <w:t xml:space="preserve">For a list of diagnoses that are covered for sensorimotor examination </w:t>
      </w:r>
      <w:hyperlink r:id="rId22" w:history="1">
        <w:r w:rsidRPr="009D7A51">
          <w:rPr>
            <w:rStyle w:val="Hyperlink"/>
          </w:rPr>
          <w:t>(View ICD Codes.)</w:t>
        </w:r>
      </w:hyperlink>
      <w:r w:rsidRPr="009D7A51">
        <w:t>.</w:t>
      </w:r>
    </w:p>
    <w:p w14:paraId="4EB0C8E3" w14:textId="77777777" w:rsidR="00F04458" w:rsidRPr="009D7A51" w:rsidRDefault="00F04458" w:rsidP="00F04458">
      <w:pPr>
        <w:pStyle w:val="CLETTERED"/>
      </w:pPr>
      <w:r w:rsidRPr="009D7A51">
        <w:t>K.</w:t>
      </w:r>
      <w:r w:rsidRPr="009D7A51">
        <w:tab/>
        <w:t>Prior authorized developmental testing may be performed only in the office of a licensed optometrist or ophthalmologist for Medicaid eligible children ages twenty (20) and under and for CHIP eligible children ages eighteen (18) and under who have received a covered diagnosis based on specific observed and documented symptoms.</w:t>
      </w:r>
    </w:p>
    <w:p w14:paraId="6F179CDB" w14:textId="77777777" w:rsidR="00F04458" w:rsidRPr="009D7A51" w:rsidRDefault="00F04458" w:rsidP="00F04458">
      <w:pPr>
        <w:pStyle w:val="cnumbered"/>
      </w:pPr>
      <w:r w:rsidRPr="009D7A51">
        <w:t>1.</w:t>
      </w:r>
      <w:r w:rsidRPr="009D7A51">
        <w:tab/>
        <w:t>Benefit limit of one (1) developmental testing in a twelve (12) month period.</w:t>
      </w:r>
    </w:p>
    <w:p w14:paraId="77E96914" w14:textId="77777777" w:rsidR="00F04458" w:rsidRPr="009D7A51" w:rsidRDefault="00F04458" w:rsidP="00F04458">
      <w:pPr>
        <w:pStyle w:val="cnumbered"/>
      </w:pPr>
      <w:r w:rsidRPr="009D7A51">
        <w:t>2.</w:t>
      </w:r>
      <w:r w:rsidRPr="009D7A51">
        <w:tab/>
        <w:t>An extension of benefits may be requested for medical necessity.</w:t>
      </w:r>
    </w:p>
    <w:p w14:paraId="50711748" w14:textId="77777777" w:rsidR="00F04458" w:rsidRPr="009D7A51" w:rsidRDefault="00F04458" w:rsidP="00F04458">
      <w:pPr>
        <w:pStyle w:val="cnumbered"/>
      </w:pPr>
      <w:r w:rsidRPr="009D7A51">
        <w:t>3.</w:t>
      </w:r>
      <w:r w:rsidRPr="009D7A51">
        <w:tab/>
        <w:t xml:space="preserve">For a list of diagnoses that are covered for developmental testing </w:t>
      </w:r>
      <w:hyperlink r:id="rId23" w:history="1">
        <w:r w:rsidRPr="009D7A51">
          <w:rPr>
            <w:rStyle w:val="Hyperlink"/>
          </w:rPr>
          <w:t>(View ICD Codes)</w:t>
        </w:r>
      </w:hyperlink>
      <w:r w:rsidRPr="009D7A51">
        <w:t>.</w:t>
      </w:r>
    </w:p>
    <w:p w14:paraId="1D96F81B" w14:textId="77777777" w:rsidR="00014CD1" w:rsidRPr="009D7A51" w:rsidRDefault="00F04458" w:rsidP="00F04458">
      <w:pPr>
        <w:pStyle w:val="CLETTERED"/>
      </w:pPr>
      <w:hyperlink r:id="rId24" w:history="1">
        <w:r w:rsidRPr="009D7A51">
          <w:rPr>
            <w:rStyle w:val="Hyperlink"/>
          </w:rPr>
          <w:t>View or print the procedure codes for Vision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14CD1" w:rsidRPr="009D7A51" w14:paraId="52179BED" w14:textId="77777777" w:rsidTr="000E527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B8DA35" w14:textId="77777777" w:rsidR="00014CD1" w:rsidRPr="009D7A51" w:rsidRDefault="00014CD1" w:rsidP="000E5279">
            <w:pPr>
              <w:pStyle w:val="chead2"/>
            </w:pPr>
            <w:bookmarkStart w:id="62" w:name="_Toc199331874"/>
            <w:r w:rsidRPr="009D7A51">
              <w:t>214.300</w:t>
            </w:r>
            <w:r w:rsidRPr="009D7A51">
              <w:tab/>
              <w:t>Exclusions in the Under Age 21 Program</w:t>
            </w:r>
            <w:bookmarkEnd w:id="62"/>
          </w:p>
        </w:tc>
        <w:tc>
          <w:tcPr>
            <w:tcW w:w="1238" w:type="dxa"/>
            <w:tcBorders>
              <w:top w:val="single" w:sz="2" w:space="0" w:color="FFFFFF"/>
              <w:left w:val="single" w:sz="6" w:space="0" w:color="FFFFFF"/>
              <w:bottom w:val="single" w:sz="2" w:space="0" w:color="FFFFFF"/>
              <w:right w:val="single" w:sz="2" w:space="0" w:color="FFFFFF"/>
            </w:tcBorders>
          </w:tcPr>
          <w:p w14:paraId="2597F826" w14:textId="77777777" w:rsidR="00014CD1" w:rsidRPr="009D7A51" w:rsidRDefault="00496747" w:rsidP="00496747">
            <w:pPr>
              <w:pStyle w:val="cDate2"/>
            </w:pPr>
            <w:r w:rsidRPr="009D7A51">
              <w:t>12</w:t>
            </w:r>
            <w:r w:rsidR="00014CD1" w:rsidRPr="009D7A51">
              <w:t>-1-0</w:t>
            </w:r>
            <w:r w:rsidRPr="009D7A51">
              <w:t>6</w:t>
            </w:r>
          </w:p>
        </w:tc>
      </w:tr>
    </w:tbl>
    <w:p w14:paraId="6EC5AFEE" w14:textId="77777777" w:rsidR="005F00B6" w:rsidRPr="009D7A51" w:rsidRDefault="005F00B6" w:rsidP="005F00B6">
      <w:pPr>
        <w:pStyle w:val="CLETTERED"/>
      </w:pPr>
      <w:r w:rsidRPr="009D7A51">
        <w:t>A.</w:t>
      </w:r>
      <w:r w:rsidRPr="009D7A51">
        <w:tab/>
        <w:t>Tinted or plastic lenses for cosmetic purposes</w:t>
      </w:r>
    </w:p>
    <w:p w14:paraId="30FB3FB0" w14:textId="77777777" w:rsidR="005F00B6" w:rsidRPr="009D7A51" w:rsidRDefault="005F00B6" w:rsidP="005F00B6">
      <w:pPr>
        <w:pStyle w:val="CLETTERED"/>
      </w:pPr>
      <w:r w:rsidRPr="009D7A51">
        <w:t>B.</w:t>
      </w:r>
      <w:r w:rsidRPr="009D7A51">
        <w:tab/>
        <w:t>Frames other than the ones on contract</w:t>
      </w:r>
    </w:p>
    <w:p w14:paraId="31C71117" w14:textId="77777777" w:rsidR="005F00B6" w:rsidRPr="009D7A51" w:rsidRDefault="005F00B6" w:rsidP="005F00B6">
      <w:pPr>
        <w:pStyle w:val="CLETTERED"/>
      </w:pPr>
      <w:r w:rsidRPr="009D7A51">
        <w:t>C.</w:t>
      </w:r>
      <w:r w:rsidRPr="009D7A51">
        <w:tab/>
        <w:t>Contact lenses for cosmetic purposes</w:t>
      </w:r>
    </w:p>
    <w:p w14:paraId="3CE76424" w14:textId="77777777" w:rsidR="005F00B6" w:rsidRPr="009D7A51" w:rsidRDefault="005F00B6" w:rsidP="005F00B6">
      <w:pPr>
        <w:pStyle w:val="CLETTERED"/>
      </w:pPr>
      <w:r w:rsidRPr="009D7A51">
        <w:t>D.</w:t>
      </w:r>
      <w:r w:rsidRPr="009D7A51">
        <w:tab/>
        <w:t>Contact lenses or eyeglasses obtained by means other than Medicaid</w:t>
      </w:r>
    </w:p>
    <w:p w14:paraId="13F9892E" w14:textId="77777777" w:rsidR="005F00B6" w:rsidRPr="009D7A51" w:rsidRDefault="005F00B6" w:rsidP="005F00B6">
      <w:pPr>
        <w:pStyle w:val="CLETTERED"/>
      </w:pPr>
      <w:r w:rsidRPr="009D7A51">
        <w:t>E.</w:t>
      </w:r>
      <w:r w:rsidRPr="009D7A51">
        <w:tab/>
        <w:t>Glass lenses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7B15" w:rsidRPr="009D7A51" w14:paraId="23C4F7D5" w14:textId="77777777" w:rsidTr="0063578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1063DA" w14:textId="77777777" w:rsidR="00867B15" w:rsidRPr="009D7A51" w:rsidRDefault="00867B15" w:rsidP="00635781">
            <w:pPr>
              <w:pStyle w:val="chead2"/>
            </w:pPr>
            <w:bookmarkStart w:id="63" w:name="_Toc24252744"/>
            <w:bookmarkStart w:id="64" w:name="_Toc131498588"/>
            <w:bookmarkStart w:id="65" w:name="_Toc235610916"/>
            <w:bookmarkStart w:id="66" w:name="_Toc199331875"/>
            <w:r w:rsidRPr="009D7A51">
              <w:t>215.000</w:t>
            </w:r>
            <w:r w:rsidRPr="009D7A51">
              <w:tab/>
              <w:t>Eyeglasses Covered by Medicaid</w:t>
            </w:r>
            <w:bookmarkEnd w:id="63"/>
            <w:bookmarkEnd w:id="64"/>
            <w:bookmarkEnd w:id="65"/>
            <w:bookmarkEnd w:id="66"/>
          </w:p>
        </w:tc>
        <w:tc>
          <w:tcPr>
            <w:tcW w:w="1238" w:type="dxa"/>
            <w:tcBorders>
              <w:top w:val="single" w:sz="2" w:space="0" w:color="FFFFFF"/>
              <w:left w:val="single" w:sz="6" w:space="0" w:color="FFFFFF"/>
              <w:bottom w:val="single" w:sz="2" w:space="0" w:color="FFFFFF"/>
              <w:right w:val="single" w:sz="2" w:space="0" w:color="FFFFFF"/>
            </w:tcBorders>
          </w:tcPr>
          <w:p w14:paraId="7AD3A099" w14:textId="77777777" w:rsidR="00867B15" w:rsidRPr="009D7A51" w:rsidRDefault="00867B15" w:rsidP="00635781">
            <w:pPr>
              <w:pStyle w:val="cDate2"/>
            </w:pPr>
            <w:r w:rsidRPr="009D7A51">
              <w:t>11-1-12</w:t>
            </w:r>
          </w:p>
        </w:tc>
      </w:tr>
    </w:tbl>
    <w:p w14:paraId="56646FBC" w14:textId="77777777" w:rsidR="00867B15" w:rsidRPr="009D7A51" w:rsidRDefault="00867B15" w:rsidP="00867B15">
      <w:pPr>
        <w:pStyle w:val="ctablespace"/>
      </w:pPr>
    </w:p>
    <w:tbl>
      <w:tblPr>
        <w:tblW w:w="8899" w:type="dxa"/>
        <w:tblInd w:w="4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93"/>
        <w:gridCol w:w="1471"/>
        <w:gridCol w:w="1217"/>
        <w:gridCol w:w="1425"/>
        <w:gridCol w:w="3693"/>
      </w:tblGrid>
      <w:tr w:rsidR="00867B15" w:rsidRPr="009D7A51" w14:paraId="3B1402BD" w14:textId="77777777" w:rsidTr="00635781">
        <w:trPr>
          <w:cantSplit/>
          <w:trHeight w:val="360"/>
          <w:tblHeader/>
        </w:trPr>
        <w:tc>
          <w:tcPr>
            <w:tcW w:w="1093" w:type="dxa"/>
            <w:tcBorders>
              <w:top w:val="single" w:sz="4" w:space="0" w:color="auto"/>
              <w:bottom w:val="single" w:sz="4" w:space="0" w:color="auto"/>
            </w:tcBorders>
          </w:tcPr>
          <w:p w14:paraId="661F5277" w14:textId="77777777" w:rsidR="00867B15" w:rsidRPr="009D7A51" w:rsidRDefault="00867B15" w:rsidP="00635781">
            <w:pPr>
              <w:pStyle w:val="ctableheading"/>
            </w:pPr>
            <w:r w:rsidRPr="009D7A51">
              <w:t>Brand</w:t>
            </w:r>
          </w:p>
        </w:tc>
        <w:tc>
          <w:tcPr>
            <w:tcW w:w="1471" w:type="dxa"/>
            <w:tcBorders>
              <w:top w:val="single" w:sz="4" w:space="0" w:color="auto"/>
              <w:bottom w:val="single" w:sz="4" w:space="0" w:color="auto"/>
            </w:tcBorders>
            <w:shd w:val="clear" w:color="auto" w:fill="auto"/>
            <w:noWrap/>
          </w:tcPr>
          <w:p w14:paraId="5AAB90E5" w14:textId="77777777" w:rsidR="00867B15" w:rsidRPr="009D7A51" w:rsidRDefault="00867B15" w:rsidP="00635781">
            <w:pPr>
              <w:pStyle w:val="ctableheading"/>
              <w:rPr>
                <w:sz w:val="28"/>
                <w:szCs w:val="28"/>
              </w:rPr>
            </w:pPr>
            <w:r w:rsidRPr="009D7A51">
              <w:t>Frame</w:t>
            </w:r>
          </w:p>
        </w:tc>
        <w:tc>
          <w:tcPr>
            <w:tcW w:w="1217" w:type="dxa"/>
            <w:tcBorders>
              <w:top w:val="single" w:sz="4" w:space="0" w:color="auto"/>
              <w:bottom w:val="single" w:sz="4" w:space="0" w:color="auto"/>
            </w:tcBorders>
            <w:shd w:val="clear" w:color="auto" w:fill="auto"/>
            <w:noWrap/>
          </w:tcPr>
          <w:p w14:paraId="02E29017" w14:textId="77777777" w:rsidR="00867B15" w:rsidRPr="009D7A51" w:rsidRDefault="00867B15" w:rsidP="00635781">
            <w:pPr>
              <w:pStyle w:val="ctableheading"/>
            </w:pPr>
            <w:r w:rsidRPr="009D7A51">
              <w:t>Gender</w:t>
            </w:r>
          </w:p>
        </w:tc>
        <w:tc>
          <w:tcPr>
            <w:tcW w:w="1425" w:type="dxa"/>
            <w:tcBorders>
              <w:top w:val="single" w:sz="4" w:space="0" w:color="auto"/>
              <w:bottom w:val="single" w:sz="4" w:space="0" w:color="auto"/>
            </w:tcBorders>
            <w:shd w:val="clear" w:color="auto" w:fill="auto"/>
            <w:noWrap/>
          </w:tcPr>
          <w:p w14:paraId="48BE6F3D" w14:textId="77777777" w:rsidR="00867B15" w:rsidRPr="009D7A51" w:rsidRDefault="00867B15" w:rsidP="00635781">
            <w:pPr>
              <w:pStyle w:val="ctableheading"/>
            </w:pPr>
            <w:r w:rsidRPr="009D7A51">
              <w:t>Size</w:t>
            </w:r>
          </w:p>
        </w:tc>
        <w:tc>
          <w:tcPr>
            <w:tcW w:w="3693" w:type="dxa"/>
            <w:tcBorders>
              <w:top w:val="single" w:sz="4" w:space="0" w:color="auto"/>
              <w:bottom w:val="single" w:sz="4" w:space="0" w:color="auto"/>
            </w:tcBorders>
            <w:shd w:val="clear" w:color="auto" w:fill="auto"/>
            <w:noWrap/>
          </w:tcPr>
          <w:p w14:paraId="4CBE496F" w14:textId="77777777" w:rsidR="00867B15" w:rsidRPr="009D7A51" w:rsidRDefault="00867B15" w:rsidP="00635781">
            <w:pPr>
              <w:pStyle w:val="ctableheading"/>
            </w:pPr>
            <w:r w:rsidRPr="009D7A51">
              <w:t>Colors</w:t>
            </w:r>
          </w:p>
        </w:tc>
      </w:tr>
      <w:tr w:rsidR="00867B15" w:rsidRPr="009D7A51" w14:paraId="5D3F0897" w14:textId="77777777" w:rsidTr="00635781">
        <w:trPr>
          <w:cantSplit/>
          <w:trHeight w:val="300"/>
        </w:trPr>
        <w:tc>
          <w:tcPr>
            <w:tcW w:w="1093" w:type="dxa"/>
            <w:vMerge w:val="restart"/>
            <w:tcBorders>
              <w:top w:val="single" w:sz="4" w:space="0" w:color="auto"/>
            </w:tcBorders>
          </w:tcPr>
          <w:p w14:paraId="09B9D738" w14:textId="77777777" w:rsidR="00867B15" w:rsidRPr="009D7A51" w:rsidRDefault="00867B15" w:rsidP="00635781">
            <w:pPr>
              <w:pStyle w:val="cTableText"/>
            </w:pPr>
            <w:r w:rsidRPr="009D7A51">
              <w:t>Europa</w:t>
            </w:r>
          </w:p>
        </w:tc>
        <w:tc>
          <w:tcPr>
            <w:tcW w:w="1471" w:type="dxa"/>
            <w:tcBorders>
              <w:top w:val="single" w:sz="4" w:space="0" w:color="auto"/>
            </w:tcBorders>
            <w:shd w:val="clear" w:color="auto" w:fill="auto"/>
            <w:noWrap/>
          </w:tcPr>
          <w:p w14:paraId="3982288E" w14:textId="77777777" w:rsidR="00867B15" w:rsidRPr="009D7A51" w:rsidRDefault="00867B15" w:rsidP="00635781">
            <w:pPr>
              <w:pStyle w:val="cTableText"/>
              <w:tabs>
                <w:tab w:val="left" w:pos="1035"/>
              </w:tabs>
            </w:pPr>
            <w:r w:rsidRPr="009D7A51">
              <w:t>ALT-07</w:t>
            </w:r>
          </w:p>
        </w:tc>
        <w:tc>
          <w:tcPr>
            <w:tcW w:w="1217" w:type="dxa"/>
            <w:tcBorders>
              <w:top w:val="single" w:sz="4" w:space="0" w:color="auto"/>
            </w:tcBorders>
            <w:shd w:val="clear" w:color="auto" w:fill="auto"/>
            <w:noWrap/>
          </w:tcPr>
          <w:p w14:paraId="515AA5AE" w14:textId="77777777" w:rsidR="00867B15" w:rsidRPr="009D7A51" w:rsidRDefault="00867B15" w:rsidP="00635781">
            <w:pPr>
              <w:pStyle w:val="cTableText"/>
            </w:pPr>
            <w:r w:rsidRPr="009D7A51">
              <w:t xml:space="preserve">Men’s </w:t>
            </w:r>
          </w:p>
        </w:tc>
        <w:tc>
          <w:tcPr>
            <w:tcW w:w="1425" w:type="dxa"/>
            <w:tcBorders>
              <w:top w:val="single" w:sz="4" w:space="0" w:color="auto"/>
            </w:tcBorders>
            <w:shd w:val="clear" w:color="auto" w:fill="auto"/>
            <w:noWrap/>
          </w:tcPr>
          <w:p w14:paraId="1D92D2BD" w14:textId="77777777" w:rsidR="00867B15" w:rsidRPr="009D7A51" w:rsidRDefault="00867B15" w:rsidP="00635781">
            <w:pPr>
              <w:pStyle w:val="cTableText"/>
            </w:pPr>
            <w:r w:rsidRPr="009D7A51">
              <w:t>52 and 54</w:t>
            </w:r>
          </w:p>
        </w:tc>
        <w:tc>
          <w:tcPr>
            <w:tcW w:w="3693" w:type="dxa"/>
            <w:tcBorders>
              <w:top w:val="single" w:sz="4" w:space="0" w:color="auto"/>
            </w:tcBorders>
            <w:shd w:val="clear" w:color="auto" w:fill="auto"/>
            <w:noWrap/>
          </w:tcPr>
          <w:p w14:paraId="24AB5DED" w14:textId="77777777" w:rsidR="00867B15" w:rsidRPr="009D7A51" w:rsidRDefault="00867B15" w:rsidP="00635781">
            <w:pPr>
              <w:pStyle w:val="cTableText"/>
            </w:pPr>
            <w:r w:rsidRPr="009D7A51">
              <w:t xml:space="preserve">Brown, </w:t>
            </w:r>
            <w:proofErr w:type="gramStart"/>
            <w:r w:rsidRPr="009D7A51">
              <w:t>Gold</w:t>
            </w:r>
            <w:proofErr w:type="gramEnd"/>
            <w:r w:rsidRPr="009D7A51">
              <w:t xml:space="preserve"> and Grey</w:t>
            </w:r>
          </w:p>
        </w:tc>
      </w:tr>
      <w:tr w:rsidR="00867B15" w:rsidRPr="009D7A51" w14:paraId="47C34105" w14:textId="77777777" w:rsidTr="00635781">
        <w:trPr>
          <w:cantSplit/>
          <w:trHeight w:val="300"/>
        </w:trPr>
        <w:tc>
          <w:tcPr>
            <w:tcW w:w="1093" w:type="dxa"/>
            <w:vMerge/>
            <w:tcBorders>
              <w:top w:val="single" w:sz="4" w:space="0" w:color="auto"/>
            </w:tcBorders>
          </w:tcPr>
          <w:p w14:paraId="56396B3C" w14:textId="77777777" w:rsidR="00867B15" w:rsidRPr="009D7A51" w:rsidRDefault="00867B15" w:rsidP="00635781">
            <w:pPr>
              <w:pStyle w:val="cTableText"/>
            </w:pPr>
          </w:p>
        </w:tc>
        <w:tc>
          <w:tcPr>
            <w:tcW w:w="1471" w:type="dxa"/>
            <w:tcBorders>
              <w:top w:val="single" w:sz="4" w:space="0" w:color="auto"/>
            </w:tcBorders>
            <w:shd w:val="clear" w:color="auto" w:fill="auto"/>
            <w:noWrap/>
          </w:tcPr>
          <w:p w14:paraId="73D3C997" w14:textId="77777777" w:rsidR="00867B15" w:rsidRPr="009D7A51" w:rsidRDefault="00867B15" w:rsidP="00635781">
            <w:pPr>
              <w:pStyle w:val="cTableText"/>
              <w:tabs>
                <w:tab w:val="left" w:pos="1035"/>
              </w:tabs>
            </w:pPr>
            <w:r w:rsidRPr="009D7A51">
              <w:t>Kerry</w:t>
            </w:r>
          </w:p>
        </w:tc>
        <w:tc>
          <w:tcPr>
            <w:tcW w:w="1217" w:type="dxa"/>
            <w:tcBorders>
              <w:top w:val="single" w:sz="4" w:space="0" w:color="auto"/>
            </w:tcBorders>
            <w:shd w:val="clear" w:color="auto" w:fill="auto"/>
            <w:noWrap/>
          </w:tcPr>
          <w:p w14:paraId="1EE99C2B" w14:textId="77777777" w:rsidR="00867B15" w:rsidRPr="009D7A51" w:rsidRDefault="00867B15" w:rsidP="00635781">
            <w:pPr>
              <w:pStyle w:val="cTableText"/>
            </w:pPr>
            <w:r w:rsidRPr="009D7A51">
              <w:t>Unisex</w:t>
            </w:r>
          </w:p>
        </w:tc>
        <w:tc>
          <w:tcPr>
            <w:tcW w:w="1425" w:type="dxa"/>
            <w:tcBorders>
              <w:top w:val="single" w:sz="4" w:space="0" w:color="auto"/>
            </w:tcBorders>
            <w:shd w:val="clear" w:color="auto" w:fill="auto"/>
            <w:noWrap/>
          </w:tcPr>
          <w:p w14:paraId="0318F045" w14:textId="77777777" w:rsidR="00867B15" w:rsidRPr="009D7A51" w:rsidRDefault="00867B15" w:rsidP="00635781">
            <w:pPr>
              <w:pStyle w:val="cTableText"/>
            </w:pPr>
            <w:r w:rsidRPr="009D7A51">
              <w:t>48 and 50</w:t>
            </w:r>
          </w:p>
        </w:tc>
        <w:tc>
          <w:tcPr>
            <w:tcW w:w="3693" w:type="dxa"/>
            <w:tcBorders>
              <w:top w:val="single" w:sz="4" w:space="0" w:color="auto"/>
            </w:tcBorders>
            <w:shd w:val="clear" w:color="auto" w:fill="auto"/>
            <w:noWrap/>
          </w:tcPr>
          <w:p w14:paraId="6EC647F4" w14:textId="77777777" w:rsidR="00867B15" w:rsidRPr="009D7A51" w:rsidRDefault="00867B15" w:rsidP="00635781">
            <w:pPr>
              <w:pStyle w:val="cTableText"/>
            </w:pPr>
            <w:r w:rsidRPr="009D7A51">
              <w:t>Bronze, Black, Chrome</w:t>
            </w:r>
          </w:p>
        </w:tc>
      </w:tr>
      <w:tr w:rsidR="00867B15" w:rsidRPr="009D7A51" w14:paraId="61A26F36" w14:textId="77777777" w:rsidTr="00635781">
        <w:trPr>
          <w:cantSplit/>
          <w:trHeight w:val="300"/>
        </w:trPr>
        <w:tc>
          <w:tcPr>
            <w:tcW w:w="1093" w:type="dxa"/>
            <w:vMerge/>
            <w:tcBorders>
              <w:top w:val="single" w:sz="4" w:space="0" w:color="auto"/>
            </w:tcBorders>
          </w:tcPr>
          <w:p w14:paraId="28A24472" w14:textId="77777777" w:rsidR="00867B15" w:rsidRPr="009D7A51" w:rsidRDefault="00867B15" w:rsidP="00635781">
            <w:pPr>
              <w:pStyle w:val="cTableText"/>
            </w:pPr>
          </w:p>
        </w:tc>
        <w:tc>
          <w:tcPr>
            <w:tcW w:w="1471" w:type="dxa"/>
            <w:shd w:val="clear" w:color="auto" w:fill="auto"/>
            <w:noWrap/>
          </w:tcPr>
          <w:p w14:paraId="742884E7" w14:textId="77777777" w:rsidR="00867B15" w:rsidRPr="009D7A51" w:rsidRDefault="00867B15" w:rsidP="00635781">
            <w:pPr>
              <w:pStyle w:val="cTableText"/>
            </w:pPr>
            <w:r w:rsidRPr="009D7A51">
              <w:t>Kip</w:t>
            </w:r>
          </w:p>
        </w:tc>
        <w:tc>
          <w:tcPr>
            <w:tcW w:w="1217" w:type="dxa"/>
            <w:shd w:val="clear" w:color="auto" w:fill="auto"/>
            <w:noWrap/>
          </w:tcPr>
          <w:p w14:paraId="517F9AA9" w14:textId="77777777" w:rsidR="00867B15" w:rsidRPr="009D7A51" w:rsidRDefault="00867B15" w:rsidP="00635781">
            <w:pPr>
              <w:pStyle w:val="cTableText"/>
            </w:pPr>
            <w:r w:rsidRPr="009D7A51">
              <w:t>Women's</w:t>
            </w:r>
          </w:p>
        </w:tc>
        <w:tc>
          <w:tcPr>
            <w:tcW w:w="1425" w:type="dxa"/>
            <w:shd w:val="clear" w:color="auto" w:fill="auto"/>
            <w:noWrap/>
          </w:tcPr>
          <w:p w14:paraId="275D3244" w14:textId="77777777" w:rsidR="00867B15" w:rsidRPr="009D7A51" w:rsidRDefault="00867B15" w:rsidP="00635781">
            <w:pPr>
              <w:pStyle w:val="cTableText"/>
            </w:pPr>
            <w:r w:rsidRPr="009D7A51">
              <w:t>48</w:t>
            </w:r>
          </w:p>
        </w:tc>
        <w:tc>
          <w:tcPr>
            <w:tcW w:w="3693" w:type="dxa"/>
            <w:shd w:val="clear" w:color="auto" w:fill="auto"/>
            <w:noWrap/>
          </w:tcPr>
          <w:p w14:paraId="3D5E319F" w14:textId="77777777" w:rsidR="00867B15" w:rsidRPr="009D7A51" w:rsidRDefault="00867B15" w:rsidP="00635781">
            <w:pPr>
              <w:pStyle w:val="cTableText"/>
            </w:pPr>
            <w:r w:rsidRPr="009D7A51">
              <w:t>Black and Crystal</w:t>
            </w:r>
          </w:p>
        </w:tc>
      </w:tr>
      <w:tr w:rsidR="00867B15" w:rsidRPr="009D7A51" w14:paraId="0E00E9AE" w14:textId="77777777" w:rsidTr="00635781">
        <w:trPr>
          <w:cantSplit/>
          <w:trHeight w:val="300"/>
        </w:trPr>
        <w:tc>
          <w:tcPr>
            <w:tcW w:w="1093" w:type="dxa"/>
            <w:vMerge/>
          </w:tcPr>
          <w:p w14:paraId="2F914B47" w14:textId="77777777" w:rsidR="00867B15" w:rsidRPr="009D7A51" w:rsidRDefault="00867B15" w:rsidP="00635781">
            <w:pPr>
              <w:pStyle w:val="cTableText"/>
            </w:pPr>
          </w:p>
        </w:tc>
        <w:tc>
          <w:tcPr>
            <w:tcW w:w="1471" w:type="dxa"/>
            <w:shd w:val="clear" w:color="auto" w:fill="auto"/>
            <w:noWrap/>
          </w:tcPr>
          <w:p w14:paraId="7401A267" w14:textId="77777777" w:rsidR="00867B15" w:rsidRPr="009D7A51" w:rsidRDefault="00867B15" w:rsidP="00635781">
            <w:pPr>
              <w:pStyle w:val="cTableText"/>
            </w:pPr>
            <w:r w:rsidRPr="009D7A51">
              <w:t>MM-01</w:t>
            </w:r>
          </w:p>
        </w:tc>
        <w:tc>
          <w:tcPr>
            <w:tcW w:w="1217" w:type="dxa"/>
            <w:shd w:val="clear" w:color="auto" w:fill="auto"/>
            <w:noWrap/>
          </w:tcPr>
          <w:p w14:paraId="7DC051C9" w14:textId="77777777" w:rsidR="00867B15" w:rsidRPr="009D7A51" w:rsidRDefault="00867B15" w:rsidP="00635781">
            <w:pPr>
              <w:pStyle w:val="cTableText"/>
            </w:pPr>
            <w:r w:rsidRPr="009D7A51">
              <w:t>Children’s</w:t>
            </w:r>
          </w:p>
        </w:tc>
        <w:tc>
          <w:tcPr>
            <w:tcW w:w="1425" w:type="dxa"/>
            <w:shd w:val="clear" w:color="auto" w:fill="auto"/>
            <w:noWrap/>
          </w:tcPr>
          <w:p w14:paraId="560E7C56" w14:textId="77777777" w:rsidR="00867B15" w:rsidRPr="009D7A51" w:rsidRDefault="00867B15" w:rsidP="00635781">
            <w:pPr>
              <w:pStyle w:val="cTableText"/>
            </w:pPr>
            <w:r w:rsidRPr="009D7A51">
              <w:t>38,40 and 42</w:t>
            </w:r>
          </w:p>
        </w:tc>
        <w:tc>
          <w:tcPr>
            <w:tcW w:w="3693" w:type="dxa"/>
            <w:shd w:val="clear" w:color="auto" w:fill="auto"/>
            <w:noWrap/>
          </w:tcPr>
          <w:p w14:paraId="04C4D3E0" w14:textId="77777777" w:rsidR="00867B15" w:rsidRPr="009D7A51" w:rsidRDefault="00867B15" w:rsidP="00635781">
            <w:pPr>
              <w:pStyle w:val="cTableText"/>
            </w:pPr>
            <w:r w:rsidRPr="009D7A51">
              <w:t>Brown, Blue, Violet and Pink</w:t>
            </w:r>
          </w:p>
        </w:tc>
      </w:tr>
      <w:tr w:rsidR="00867B15" w:rsidRPr="009D7A51" w14:paraId="18736C0F" w14:textId="77777777" w:rsidTr="00635781">
        <w:trPr>
          <w:cantSplit/>
          <w:trHeight w:val="300"/>
        </w:trPr>
        <w:tc>
          <w:tcPr>
            <w:tcW w:w="1093" w:type="dxa"/>
            <w:vMerge/>
          </w:tcPr>
          <w:p w14:paraId="54117F9E" w14:textId="77777777" w:rsidR="00867B15" w:rsidRPr="009D7A51" w:rsidRDefault="00867B15" w:rsidP="00635781">
            <w:pPr>
              <w:pStyle w:val="cTableText"/>
            </w:pPr>
          </w:p>
        </w:tc>
        <w:tc>
          <w:tcPr>
            <w:tcW w:w="1471" w:type="dxa"/>
            <w:shd w:val="clear" w:color="auto" w:fill="auto"/>
            <w:noWrap/>
          </w:tcPr>
          <w:p w14:paraId="3E59AE36" w14:textId="77777777" w:rsidR="00867B15" w:rsidRPr="009D7A51" w:rsidRDefault="00867B15" w:rsidP="00635781">
            <w:pPr>
              <w:pStyle w:val="cTableText"/>
            </w:pPr>
            <w:r w:rsidRPr="009D7A51">
              <w:t>MM-02</w:t>
            </w:r>
          </w:p>
        </w:tc>
        <w:tc>
          <w:tcPr>
            <w:tcW w:w="1217" w:type="dxa"/>
            <w:shd w:val="clear" w:color="auto" w:fill="auto"/>
            <w:noWrap/>
          </w:tcPr>
          <w:p w14:paraId="117D10FB" w14:textId="77777777" w:rsidR="00867B15" w:rsidRPr="009D7A51" w:rsidRDefault="00867B15" w:rsidP="00635781">
            <w:pPr>
              <w:pStyle w:val="cTableText"/>
            </w:pPr>
            <w:r w:rsidRPr="009D7A51">
              <w:t>Children’s</w:t>
            </w:r>
          </w:p>
        </w:tc>
        <w:tc>
          <w:tcPr>
            <w:tcW w:w="1425" w:type="dxa"/>
            <w:shd w:val="clear" w:color="auto" w:fill="auto"/>
            <w:noWrap/>
          </w:tcPr>
          <w:p w14:paraId="06012BFA" w14:textId="77777777" w:rsidR="00867B15" w:rsidRPr="009D7A51" w:rsidRDefault="00867B15" w:rsidP="00635781">
            <w:pPr>
              <w:pStyle w:val="cTableText"/>
            </w:pPr>
            <w:r w:rsidRPr="009D7A51">
              <w:t>39, 41 and 43</w:t>
            </w:r>
          </w:p>
        </w:tc>
        <w:tc>
          <w:tcPr>
            <w:tcW w:w="3693" w:type="dxa"/>
            <w:shd w:val="clear" w:color="auto" w:fill="auto"/>
            <w:noWrap/>
          </w:tcPr>
          <w:p w14:paraId="7600D189" w14:textId="77777777" w:rsidR="00867B15" w:rsidRPr="009D7A51" w:rsidRDefault="00867B15" w:rsidP="00635781">
            <w:pPr>
              <w:pStyle w:val="cTableText"/>
            </w:pPr>
            <w:r w:rsidRPr="009D7A51">
              <w:t>Bronze, Blue, Gunmetal and Wine</w:t>
            </w:r>
          </w:p>
        </w:tc>
      </w:tr>
      <w:tr w:rsidR="00867B15" w:rsidRPr="009D7A51" w14:paraId="58DB722E" w14:textId="77777777" w:rsidTr="00635781">
        <w:trPr>
          <w:cantSplit/>
          <w:trHeight w:val="300"/>
        </w:trPr>
        <w:tc>
          <w:tcPr>
            <w:tcW w:w="1093" w:type="dxa"/>
            <w:vMerge/>
          </w:tcPr>
          <w:p w14:paraId="1F053585" w14:textId="77777777" w:rsidR="00867B15" w:rsidRPr="009D7A51" w:rsidRDefault="00867B15" w:rsidP="00635781">
            <w:pPr>
              <w:pStyle w:val="cTableText"/>
            </w:pPr>
          </w:p>
        </w:tc>
        <w:tc>
          <w:tcPr>
            <w:tcW w:w="1471" w:type="dxa"/>
            <w:shd w:val="clear" w:color="auto" w:fill="auto"/>
            <w:noWrap/>
          </w:tcPr>
          <w:p w14:paraId="25E30064" w14:textId="77777777" w:rsidR="00867B15" w:rsidRPr="009D7A51" w:rsidRDefault="00867B15" w:rsidP="00635781">
            <w:pPr>
              <w:pStyle w:val="cTableText"/>
            </w:pPr>
            <w:r w:rsidRPr="009D7A51">
              <w:t>MM-03</w:t>
            </w:r>
          </w:p>
        </w:tc>
        <w:tc>
          <w:tcPr>
            <w:tcW w:w="1217" w:type="dxa"/>
            <w:shd w:val="clear" w:color="auto" w:fill="auto"/>
            <w:noWrap/>
          </w:tcPr>
          <w:p w14:paraId="1092C456" w14:textId="77777777" w:rsidR="00867B15" w:rsidRPr="009D7A51" w:rsidRDefault="00867B15" w:rsidP="00635781">
            <w:pPr>
              <w:pStyle w:val="cTableText"/>
            </w:pPr>
            <w:r w:rsidRPr="009D7A51">
              <w:t>Unisex</w:t>
            </w:r>
          </w:p>
        </w:tc>
        <w:tc>
          <w:tcPr>
            <w:tcW w:w="1425" w:type="dxa"/>
            <w:shd w:val="clear" w:color="auto" w:fill="auto"/>
            <w:noWrap/>
          </w:tcPr>
          <w:p w14:paraId="6982E012" w14:textId="77777777" w:rsidR="00867B15" w:rsidRPr="009D7A51" w:rsidRDefault="00867B15" w:rsidP="00635781">
            <w:pPr>
              <w:pStyle w:val="cTableText"/>
            </w:pPr>
            <w:r w:rsidRPr="009D7A51">
              <w:t>46, 48 and 50</w:t>
            </w:r>
          </w:p>
        </w:tc>
        <w:tc>
          <w:tcPr>
            <w:tcW w:w="3693" w:type="dxa"/>
            <w:shd w:val="clear" w:color="auto" w:fill="auto"/>
            <w:noWrap/>
          </w:tcPr>
          <w:p w14:paraId="5CDB01A8" w14:textId="77777777" w:rsidR="00867B15" w:rsidRPr="009D7A51" w:rsidRDefault="00867B15" w:rsidP="00635781">
            <w:pPr>
              <w:pStyle w:val="cTableText"/>
            </w:pPr>
            <w:r w:rsidRPr="009D7A51">
              <w:t>Bronze, Black, Gunmetal and Light Copper</w:t>
            </w:r>
          </w:p>
        </w:tc>
      </w:tr>
      <w:tr w:rsidR="00867B15" w:rsidRPr="009D7A51" w14:paraId="05BB5687" w14:textId="77777777" w:rsidTr="00635781">
        <w:trPr>
          <w:cantSplit/>
          <w:trHeight w:val="300"/>
        </w:trPr>
        <w:tc>
          <w:tcPr>
            <w:tcW w:w="1093" w:type="dxa"/>
            <w:vMerge/>
          </w:tcPr>
          <w:p w14:paraId="75B83AFB" w14:textId="77777777" w:rsidR="00867B15" w:rsidRPr="009D7A51" w:rsidRDefault="00867B15" w:rsidP="00635781">
            <w:pPr>
              <w:pStyle w:val="cTableText"/>
            </w:pPr>
          </w:p>
        </w:tc>
        <w:tc>
          <w:tcPr>
            <w:tcW w:w="1471" w:type="dxa"/>
            <w:shd w:val="clear" w:color="auto" w:fill="auto"/>
            <w:noWrap/>
          </w:tcPr>
          <w:p w14:paraId="37BB9B15" w14:textId="77777777" w:rsidR="00867B15" w:rsidRPr="009D7A51" w:rsidRDefault="00867B15" w:rsidP="00635781">
            <w:pPr>
              <w:pStyle w:val="cTableText"/>
            </w:pPr>
            <w:r w:rsidRPr="009D7A51">
              <w:t>MM-04</w:t>
            </w:r>
          </w:p>
        </w:tc>
        <w:tc>
          <w:tcPr>
            <w:tcW w:w="1217" w:type="dxa"/>
            <w:shd w:val="clear" w:color="auto" w:fill="auto"/>
            <w:noWrap/>
          </w:tcPr>
          <w:p w14:paraId="33393DAF" w14:textId="77777777" w:rsidR="00867B15" w:rsidRPr="009D7A51" w:rsidRDefault="00867B15" w:rsidP="00635781">
            <w:pPr>
              <w:pStyle w:val="cTableText"/>
            </w:pPr>
            <w:r w:rsidRPr="009D7A51">
              <w:t>Unisex</w:t>
            </w:r>
          </w:p>
        </w:tc>
        <w:tc>
          <w:tcPr>
            <w:tcW w:w="1425" w:type="dxa"/>
            <w:shd w:val="clear" w:color="auto" w:fill="auto"/>
            <w:noWrap/>
          </w:tcPr>
          <w:p w14:paraId="3600403C" w14:textId="77777777" w:rsidR="00867B15" w:rsidRPr="009D7A51" w:rsidRDefault="00867B15" w:rsidP="00635781">
            <w:pPr>
              <w:pStyle w:val="cTableText"/>
            </w:pPr>
            <w:r w:rsidRPr="009D7A51">
              <w:t>44, 46 and 48</w:t>
            </w:r>
          </w:p>
        </w:tc>
        <w:tc>
          <w:tcPr>
            <w:tcW w:w="3693" w:type="dxa"/>
            <w:shd w:val="clear" w:color="auto" w:fill="auto"/>
            <w:noWrap/>
          </w:tcPr>
          <w:p w14:paraId="42AD1996" w14:textId="77777777" w:rsidR="00867B15" w:rsidRPr="009D7A51" w:rsidRDefault="00867B15" w:rsidP="00635781">
            <w:pPr>
              <w:pStyle w:val="cTableText"/>
            </w:pPr>
            <w:r w:rsidRPr="009D7A51">
              <w:t xml:space="preserve">Brown, Blue, </w:t>
            </w:r>
            <w:proofErr w:type="gramStart"/>
            <w:r w:rsidRPr="009D7A51">
              <w:t>Violet</w:t>
            </w:r>
            <w:proofErr w:type="gramEnd"/>
            <w:r w:rsidRPr="009D7A51">
              <w:t xml:space="preserve"> and Red</w:t>
            </w:r>
          </w:p>
        </w:tc>
      </w:tr>
      <w:tr w:rsidR="00867B15" w:rsidRPr="009D7A51" w14:paraId="4F245AED" w14:textId="77777777" w:rsidTr="00635781">
        <w:trPr>
          <w:cantSplit/>
          <w:trHeight w:val="300"/>
        </w:trPr>
        <w:tc>
          <w:tcPr>
            <w:tcW w:w="1093" w:type="dxa"/>
            <w:vMerge/>
          </w:tcPr>
          <w:p w14:paraId="7EF33402" w14:textId="77777777" w:rsidR="00867B15" w:rsidRPr="009D7A51" w:rsidRDefault="00867B15" w:rsidP="00635781">
            <w:pPr>
              <w:pStyle w:val="cTableText"/>
            </w:pPr>
          </w:p>
        </w:tc>
        <w:tc>
          <w:tcPr>
            <w:tcW w:w="1471" w:type="dxa"/>
            <w:shd w:val="clear" w:color="auto" w:fill="auto"/>
            <w:noWrap/>
          </w:tcPr>
          <w:p w14:paraId="531F2F0E" w14:textId="77777777" w:rsidR="00867B15" w:rsidRPr="009D7A51" w:rsidRDefault="00867B15" w:rsidP="00635781">
            <w:pPr>
              <w:pStyle w:val="cTableText"/>
            </w:pPr>
            <w:r w:rsidRPr="009D7A51">
              <w:t>MM-05</w:t>
            </w:r>
          </w:p>
        </w:tc>
        <w:tc>
          <w:tcPr>
            <w:tcW w:w="1217" w:type="dxa"/>
            <w:shd w:val="clear" w:color="auto" w:fill="auto"/>
            <w:noWrap/>
          </w:tcPr>
          <w:p w14:paraId="6E5D0F83" w14:textId="77777777" w:rsidR="00867B15" w:rsidRPr="009D7A51" w:rsidRDefault="00867B15" w:rsidP="00635781">
            <w:pPr>
              <w:pStyle w:val="cTableText"/>
            </w:pPr>
            <w:r w:rsidRPr="009D7A51">
              <w:t>Women's</w:t>
            </w:r>
          </w:p>
        </w:tc>
        <w:tc>
          <w:tcPr>
            <w:tcW w:w="1425" w:type="dxa"/>
            <w:shd w:val="clear" w:color="auto" w:fill="auto"/>
            <w:noWrap/>
          </w:tcPr>
          <w:p w14:paraId="03291638" w14:textId="77777777" w:rsidR="00867B15" w:rsidRPr="009D7A51" w:rsidRDefault="00867B15" w:rsidP="00635781">
            <w:pPr>
              <w:pStyle w:val="cTableText"/>
            </w:pPr>
            <w:r w:rsidRPr="009D7A51">
              <w:t>45, 47 and 49</w:t>
            </w:r>
          </w:p>
        </w:tc>
        <w:tc>
          <w:tcPr>
            <w:tcW w:w="3693" w:type="dxa"/>
            <w:shd w:val="clear" w:color="auto" w:fill="auto"/>
            <w:noWrap/>
          </w:tcPr>
          <w:p w14:paraId="5A461F1C" w14:textId="77777777" w:rsidR="00867B15" w:rsidRPr="009D7A51" w:rsidRDefault="00867B15" w:rsidP="00635781">
            <w:pPr>
              <w:pStyle w:val="cTableText"/>
            </w:pPr>
            <w:r w:rsidRPr="009D7A51">
              <w:t>Brown, Black, Gunmetal and Blue</w:t>
            </w:r>
          </w:p>
        </w:tc>
      </w:tr>
      <w:tr w:rsidR="00867B15" w:rsidRPr="009D7A51" w14:paraId="1BA5C461" w14:textId="77777777" w:rsidTr="00635781">
        <w:trPr>
          <w:cantSplit/>
          <w:trHeight w:val="300"/>
        </w:trPr>
        <w:tc>
          <w:tcPr>
            <w:tcW w:w="1093" w:type="dxa"/>
            <w:vMerge/>
          </w:tcPr>
          <w:p w14:paraId="40C11A34" w14:textId="77777777" w:rsidR="00867B15" w:rsidRPr="009D7A51" w:rsidRDefault="00867B15" w:rsidP="00635781">
            <w:pPr>
              <w:pStyle w:val="cTableText"/>
            </w:pPr>
          </w:p>
        </w:tc>
        <w:tc>
          <w:tcPr>
            <w:tcW w:w="1471" w:type="dxa"/>
            <w:shd w:val="clear" w:color="auto" w:fill="auto"/>
            <w:noWrap/>
          </w:tcPr>
          <w:p w14:paraId="4B170A24" w14:textId="77777777" w:rsidR="00867B15" w:rsidRPr="009D7A51" w:rsidRDefault="00867B15" w:rsidP="00635781">
            <w:pPr>
              <w:pStyle w:val="cTableText"/>
            </w:pPr>
            <w:r w:rsidRPr="009D7A51">
              <w:t>NF-3</w:t>
            </w:r>
          </w:p>
        </w:tc>
        <w:tc>
          <w:tcPr>
            <w:tcW w:w="1217" w:type="dxa"/>
            <w:shd w:val="clear" w:color="auto" w:fill="auto"/>
            <w:noWrap/>
          </w:tcPr>
          <w:p w14:paraId="4DECEB55" w14:textId="77777777" w:rsidR="00867B15" w:rsidRPr="009D7A51" w:rsidRDefault="00867B15" w:rsidP="00635781">
            <w:pPr>
              <w:pStyle w:val="cTableText"/>
            </w:pPr>
            <w:r w:rsidRPr="009D7A51">
              <w:t>Unisex</w:t>
            </w:r>
          </w:p>
        </w:tc>
        <w:tc>
          <w:tcPr>
            <w:tcW w:w="1425" w:type="dxa"/>
            <w:shd w:val="clear" w:color="auto" w:fill="auto"/>
            <w:noWrap/>
          </w:tcPr>
          <w:p w14:paraId="150CF712" w14:textId="77777777" w:rsidR="00867B15" w:rsidRPr="009D7A51" w:rsidRDefault="00867B15" w:rsidP="00635781">
            <w:pPr>
              <w:pStyle w:val="cTableText"/>
            </w:pPr>
            <w:r w:rsidRPr="009D7A51">
              <w:t>44 and 46</w:t>
            </w:r>
          </w:p>
        </w:tc>
        <w:tc>
          <w:tcPr>
            <w:tcW w:w="3693" w:type="dxa"/>
            <w:shd w:val="clear" w:color="auto" w:fill="auto"/>
            <w:noWrap/>
          </w:tcPr>
          <w:p w14:paraId="2D6F2330" w14:textId="77777777" w:rsidR="00867B15" w:rsidRPr="009D7A51" w:rsidRDefault="00867B15" w:rsidP="00635781">
            <w:pPr>
              <w:pStyle w:val="cTableText"/>
            </w:pPr>
            <w:r w:rsidRPr="009D7A51">
              <w:t>Matte Black and Matte Silver</w:t>
            </w:r>
          </w:p>
        </w:tc>
      </w:tr>
      <w:tr w:rsidR="00867B15" w:rsidRPr="009D7A51" w14:paraId="0604B582" w14:textId="77777777" w:rsidTr="00635781">
        <w:trPr>
          <w:cantSplit/>
          <w:trHeight w:val="300"/>
        </w:trPr>
        <w:tc>
          <w:tcPr>
            <w:tcW w:w="1093" w:type="dxa"/>
            <w:vMerge/>
          </w:tcPr>
          <w:p w14:paraId="416B6BD8" w14:textId="77777777" w:rsidR="00867B15" w:rsidRPr="009D7A51" w:rsidRDefault="00867B15" w:rsidP="00635781">
            <w:pPr>
              <w:pStyle w:val="cTableText"/>
            </w:pPr>
          </w:p>
        </w:tc>
        <w:tc>
          <w:tcPr>
            <w:tcW w:w="1471" w:type="dxa"/>
            <w:shd w:val="clear" w:color="auto" w:fill="auto"/>
            <w:noWrap/>
          </w:tcPr>
          <w:p w14:paraId="5115168F" w14:textId="77777777" w:rsidR="00867B15" w:rsidRPr="009D7A51" w:rsidRDefault="00867B15" w:rsidP="00635781">
            <w:pPr>
              <w:pStyle w:val="cTableText"/>
            </w:pPr>
            <w:r w:rsidRPr="009D7A51">
              <w:t>L-Cable</w:t>
            </w:r>
          </w:p>
        </w:tc>
        <w:tc>
          <w:tcPr>
            <w:tcW w:w="1217" w:type="dxa"/>
            <w:shd w:val="clear" w:color="auto" w:fill="auto"/>
            <w:noWrap/>
          </w:tcPr>
          <w:p w14:paraId="310F44AA" w14:textId="77777777" w:rsidR="00867B15" w:rsidRPr="009D7A51" w:rsidRDefault="00867B15" w:rsidP="00635781">
            <w:pPr>
              <w:pStyle w:val="cTableText"/>
            </w:pPr>
            <w:r w:rsidRPr="009D7A51">
              <w:t>Children's</w:t>
            </w:r>
          </w:p>
        </w:tc>
        <w:tc>
          <w:tcPr>
            <w:tcW w:w="1425" w:type="dxa"/>
            <w:shd w:val="clear" w:color="auto" w:fill="auto"/>
            <w:noWrap/>
          </w:tcPr>
          <w:p w14:paraId="31CA09FF" w14:textId="77777777" w:rsidR="00867B15" w:rsidRPr="009D7A51" w:rsidRDefault="00867B15" w:rsidP="00635781">
            <w:pPr>
              <w:pStyle w:val="cTableText"/>
            </w:pPr>
            <w:r w:rsidRPr="009D7A51">
              <w:t>36,38 and 40</w:t>
            </w:r>
          </w:p>
        </w:tc>
        <w:tc>
          <w:tcPr>
            <w:tcW w:w="3693" w:type="dxa"/>
            <w:shd w:val="clear" w:color="auto" w:fill="auto"/>
            <w:noWrap/>
          </w:tcPr>
          <w:p w14:paraId="2EEE461E" w14:textId="77777777" w:rsidR="00867B15" w:rsidRPr="009D7A51" w:rsidRDefault="00867B15" w:rsidP="00635781">
            <w:pPr>
              <w:pStyle w:val="cTableText"/>
            </w:pPr>
            <w:r w:rsidRPr="009D7A51">
              <w:t>Brown, Gold and Black</w:t>
            </w:r>
          </w:p>
        </w:tc>
      </w:tr>
      <w:tr w:rsidR="00867B15" w:rsidRPr="009D7A51" w14:paraId="5CE3176B" w14:textId="77777777" w:rsidTr="00635781">
        <w:trPr>
          <w:cantSplit/>
          <w:trHeight w:val="300"/>
        </w:trPr>
        <w:tc>
          <w:tcPr>
            <w:tcW w:w="1093" w:type="dxa"/>
            <w:vMerge/>
          </w:tcPr>
          <w:p w14:paraId="7DB3F013" w14:textId="77777777" w:rsidR="00867B15" w:rsidRPr="009D7A51" w:rsidRDefault="00867B15" w:rsidP="00635781">
            <w:pPr>
              <w:pStyle w:val="cTableText"/>
            </w:pPr>
          </w:p>
        </w:tc>
        <w:tc>
          <w:tcPr>
            <w:tcW w:w="1471" w:type="dxa"/>
            <w:shd w:val="clear" w:color="auto" w:fill="auto"/>
            <w:noWrap/>
          </w:tcPr>
          <w:p w14:paraId="7B0DFD6A" w14:textId="77777777" w:rsidR="00867B15" w:rsidRPr="009D7A51" w:rsidRDefault="00867B15" w:rsidP="00635781">
            <w:pPr>
              <w:pStyle w:val="cTableText"/>
            </w:pPr>
            <w:r w:rsidRPr="009D7A51">
              <w:t>NF-2</w:t>
            </w:r>
          </w:p>
        </w:tc>
        <w:tc>
          <w:tcPr>
            <w:tcW w:w="1217" w:type="dxa"/>
            <w:shd w:val="clear" w:color="auto" w:fill="auto"/>
            <w:noWrap/>
          </w:tcPr>
          <w:p w14:paraId="62BFB6BA" w14:textId="77777777" w:rsidR="00867B15" w:rsidRPr="009D7A51" w:rsidRDefault="00867B15" w:rsidP="00635781">
            <w:pPr>
              <w:pStyle w:val="cTableText"/>
            </w:pPr>
            <w:r w:rsidRPr="009D7A51">
              <w:t>Unisex</w:t>
            </w:r>
          </w:p>
        </w:tc>
        <w:tc>
          <w:tcPr>
            <w:tcW w:w="1425" w:type="dxa"/>
            <w:shd w:val="clear" w:color="auto" w:fill="auto"/>
            <w:noWrap/>
          </w:tcPr>
          <w:p w14:paraId="6FD1FB13" w14:textId="77777777" w:rsidR="00867B15" w:rsidRPr="009D7A51" w:rsidRDefault="00867B15" w:rsidP="00635781">
            <w:pPr>
              <w:pStyle w:val="cTableText"/>
            </w:pPr>
            <w:r w:rsidRPr="009D7A51">
              <w:t>45 and 47</w:t>
            </w:r>
          </w:p>
        </w:tc>
        <w:tc>
          <w:tcPr>
            <w:tcW w:w="3693" w:type="dxa"/>
            <w:shd w:val="clear" w:color="auto" w:fill="auto"/>
            <w:noWrap/>
          </w:tcPr>
          <w:p w14:paraId="6599EB41" w14:textId="77777777" w:rsidR="00867B15" w:rsidRPr="009D7A51" w:rsidRDefault="00867B15" w:rsidP="00635781">
            <w:pPr>
              <w:pStyle w:val="cTableText"/>
            </w:pPr>
            <w:r w:rsidRPr="009D7A51">
              <w:t>Matte Black and Matte Blue</w:t>
            </w:r>
          </w:p>
        </w:tc>
      </w:tr>
      <w:tr w:rsidR="00867B15" w:rsidRPr="009D7A51" w14:paraId="2DE2D9AF" w14:textId="77777777" w:rsidTr="00635781">
        <w:trPr>
          <w:cantSplit/>
          <w:trHeight w:val="300"/>
        </w:trPr>
        <w:tc>
          <w:tcPr>
            <w:tcW w:w="1093" w:type="dxa"/>
            <w:vMerge/>
          </w:tcPr>
          <w:p w14:paraId="0F0658EA" w14:textId="77777777" w:rsidR="00867B15" w:rsidRPr="009D7A51" w:rsidRDefault="00867B15" w:rsidP="00635781">
            <w:pPr>
              <w:pStyle w:val="cTableText"/>
            </w:pPr>
          </w:p>
        </w:tc>
        <w:tc>
          <w:tcPr>
            <w:tcW w:w="1471" w:type="dxa"/>
            <w:shd w:val="clear" w:color="auto" w:fill="auto"/>
            <w:noWrap/>
          </w:tcPr>
          <w:p w14:paraId="018DB1D9" w14:textId="77777777" w:rsidR="00867B15" w:rsidRPr="009D7A51" w:rsidRDefault="00867B15" w:rsidP="00635781">
            <w:pPr>
              <w:pStyle w:val="cTableText"/>
            </w:pPr>
            <w:r w:rsidRPr="009D7A51">
              <w:t>MM-06</w:t>
            </w:r>
          </w:p>
        </w:tc>
        <w:tc>
          <w:tcPr>
            <w:tcW w:w="1217" w:type="dxa"/>
            <w:shd w:val="clear" w:color="auto" w:fill="auto"/>
            <w:noWrap/>
          </w:tcPr>
          <w:p w14:paraId="33EC8516" w14:textId="77777777" w:rsidR="00867B15" w:rsidRPr="009D7A51" w:rsidRDefault="00867B15" w:rsidP="00635781">
            <w:pPr>
              <w:pStyle w:val="cTableText"/>
            </w:pPr>
            <w:r w:rsidRPr="009D7A51">
              <w:t>Men's</w:t>
            </w:r>
          </w:p>
        </w:tc>
        <w:tc>
          <w:tcPr>
            <w:tcW w:w="1425" w:type="dxa"/>
            <w:shd w:val="clear" w:color="auto" w:fill="auto"/>
            <w:noWrap/>
          </w:tcPr>
          <w:p w14:paraId="13BA59C3" w14:textId="77777777" w:rsidR="00867B15" w:rsidRPr="009D7A51" w:rsidRDefault="00867B15" w:rsidP="00635781">
            <w:pPr>
              <w:pStyle w:val="cTableText"/>
            </w:pPr>
            <w:r w:rsidRPr="009D7A51">
              <w:t>50, 52 and 54</w:t>
            </w:r>
          </w:p>
        </w:tc>
        <w:tc>
          <w:tcPr>
            <w:tcW w:w="3693" w:type="dxa"/>
            <w:shd w:val="clear" w:color="auto" w:fill="auto"/>
            <w:noWrap/>
          </w:tcPr>
          <w:p w14:paraId="6F1258BA" w14:textId="77777777" w:rsidR="00867B15" w:rsidRPr="009D7A51" w:rsidRDefault="00867B15" w:rsidP="00635781">
            <w:pPr>
              <w:pStyle w:val="cTableText"/>
            </w:pPr>
            <w:r w:rsidRPr="009D7A51">
              <w:t>Brown, Black, Gunmetal and Gold</w:t>
            </w:r>
          </w:p>
        </w:tc>
      </w:tr>
      <w:tr w:rsidR="00867B15" w:rsidRPr="009D7A51" w14:paraId="0DEC234A" w14:textId="77777777" w:rsidTr="00635781">
        <w:trPr>
          <w:cantSplit/>
          <w:trHeight w:val="300"/>
        </w:trPr>
        <w:tc>
          <w:tcPr>
            <w:tcW w:w="1093" w:type="dxa"/>
            <w:vMerge w:val="restart"/>
          </w:tcPr>
          <w:p w14:paraId="72C5E56A" w14:textId="77777777" w:rsidR="00867B15" w:rsidRPr="009D7A51" w:rsidRDefault="00867B15" w:rsidP="00635781">
            <w:pPr>
              <w:pStyle w:val="cTableText"/>
            </w:pPr>
            <w:proofErr w:type="spellStart"/>
            <w:r w:rsidRPr="009D7A51">
              <w:t>Kenmark</w:t>
            </w:r>
            <w:proofErr w:type="spellEnd"/>
          </w:p>
        </w:tc>
        <w:tc>
          <w:tcPr>
            <w:tcW w:w="1471" w:type="dxa"/>
            <w:shd w:val="clear" w:color="auto" w:fill="auto"/>
            <w:noWrap/>
          </w:tcPr>
          <w:p w14:paraId="2CFF015B" w14:textId="77777777" w:rsidR="00867B15" w:rsidRPr="009D7A51" w:rsidRDefault="00867B15" w:rsidP="00635781">
            <w:pPr>
              <w:pStyle w:val="cTableText"/>
            </w:pPr>
            <w:r w:rsidRPr="009D7A51">
              <w:t>Andrea</w:t>
            </w:r>
          </w:p>
        </w:tc>
        <w:tc>
          <w:tcPr>
            <w:tcW w:w="1217" w:type="dxa"/>
            <w:shd w:val="clear" w:color="auto" w:fill="auto"/>
            <w:noWrap/>
          </w:tcPr>
          <w:p w14:paraId="4DE3BEA0" w14:textId="77777777" w:rsidR="00867B15" w:rsidRPr="009D7A51" w:rsidRDefault="00867B15" w:rsidP="00635781">
            <w:pPr>
              <w:pStyle w:val="cTableText"/>
            </w:pPr>
            <w:r w:rsidRPr="009D7A51">
              <w:t>Women's</w:t>
            </w:r>
          </w:p>
        </w:tc>
        <w:tc>
          <w:tcPr>
            <w:tcW w:w="1425" w:type="dxa"/>
            <w:shd w:val="clear" w:color="auto" w:fill="auto"/>
            <w:noWrap/>
          </w:tcPr>
          <w:p w14:paraId="3514CD4D" w14:textId="77777777" w:rsidR="00867B15" w:rsidRPr="009D7A51" w:rsidRDefault="00867B15" w:rsidP="00635781">
            <w:pPr>
              <w:pStyle w:val="cTableText"/>
            </w:pPr>
            <w:r w:rsidRPr="009D7A51">
              <w:t>49</w:t>
            </w:r>
          </w:p>
        </w:tc>
        <w:tc>
          <w:tcPr>
            <w:tcW w:w="3693" w:type="dxa"/>
            <w:shd w:val="clear" w:color="auto" w:fill="auto"/>
            <w:noWrap/>
          </w:tcPr>
          <w:p w14:paraId="7A14E041" w14:textId="77777777" w:rsidR="00867B15" w:rsidRPr="009D7A51" w:rsidRDefault="00867B15" w:rsidP="00635781">
            <w:pPr>
              <w:pStyle w:val="cTableText"/>
            </w:pPr>
            <w:r w:rsidRPr="009D7A51">
              <w:t xml:space="preserve">Rose, </w:t>
            </w:r>
            <w:proofErr w:type="gramStart"/>
            <w:r w:rsidRPr="009D7A51">
              <w:t>Brown</w:t>
            </w:r>
            <w:proofErr w:type="gramEnd"/>
            <w:r w:rsidRPr="009D7A51">
              <w:t xml:space="preserve"> and Wine</w:t>
            </w:r>
          </w:p>
        </w:tc>
      </w:tr>
      <w:tr w:rsidR="00867B15" w:rsidRPr="009D7A51" w14:paraId="029B8CEF" w14:textId="77777777" w:rsidTr="00635781">
        <w:trPr>
          <w:cantSplit/>
          <w:trHeight w:val="300"/>
        </w:trPr>
        <w:tc>
          <w:tcPr>
            <w:tcW w:w="1093" w:type="dxa"/>
            <w:vMerge/>
          </w:tcPr>
          <w:p w14:paraId="37128328" w14:textId="77777777" w:rsidR="00867B15" w:rsidRPr="009D7A51" w:rsidRDefault="00867B15" w:rsidP="00635781">
            <w:pPr>
              <w:pStyle w:val="cTableText"/>
            </w:pPr>
          </w:p>
        </w:tc>
        <w:tc>
          <w:tcPr>
            <w:tcW w:w="1471" w:type="dxa"/>
            <w:shd w:val="clear" w:color="auto" w:fill="auto"/>
            <w:noWrap/>
          </w:tcPr>
          <w:p w14:paraId="5C3E74FD" w14:textId="77777777" w:rsidR="00867B15" w:rsidRPr="009D7A51" w:rsidRDefault="00867B15" w:rsidP="00635781">
            <w:pPr>
              <w:pStyle w:val="cTableText"/>
            </w:pPr>
            <w:smartTag w:uri="urn:schemas-microsoft-com:office:smarttags" w:element="Street">
              <w:r w:rsidRPr="009D7A51">
                <w:t>Shannon</w:t>
              </w:r>
            </w:smartTag>
          </w:p>
        </w:tc>
        <w:tc>
          <w:tcPr>
            <w:tcW w:w="1217" w:type="dxa"/>
            <w:shd w:val="clear" w:color="auto" w:fill="auto"/>
            <w:noWrap/>
          </w:tcPr>
          <w:p w14:paraId="631AF77B" w14:textId="77777777" w:rsidR="00867B15" w:rsidRPr="009D7A51" w:rsidRDefault="00867B15" w:rsidP="00635781">
            <w:pPr>
              <w:pStyle w:val="cTableText"/>
            </w:pPr>
            <w:r w:rsidRPr="009D7A51">
              <w:t>Women's</w:t>
            </w:r>
          </w:p>
        </w:tc>
        <w:tc>
          <w:tcPr>
            <w:tcW w:w="1425" w:type="dxa"/>
            <w:shd w:val="clear" w:color="auto" w:fill="auto"/>
            <w:noWrap/>
          </w:tcPr>
          <w:p w14:paraId="1C952744" w14:textId="77777777" w:rsidR="00867B15" w:rsidRPr="009D7A51" w:rsidRDefault="00867B15" w:rsidP="00635781">
            <w:pPr>
              <w:pStyle w:val="cTableText"/>
            </w:pPr>
            <w:r w:rsidRPr="009D7A51">
              <w:t>46 and 48</w:t>
            </w:r>
          </w:p>
        </w:tc>
        <w:tc>
          <w:tcPr>
            <w:tcW w:w="3693" w:type="dxa"/>
            <w:shd w:val="clear" w:color="auto" w:fill="auto"/>
            <w:noWrap/>
          </w:tcPr>
          <w:p w14:paraId="21101FAA" w14:textId="77777777" w:rsidR="00867B15" w:rsidRPr="009D7A51" w:rsidRDefault="00867B15" w:rsidP="00635781">
            <w:pPr>
              <w:pStyle w:val="cTableText"/>
            </w:pPr>
            <w:r w:rsidRPr="009D7A51">
              <w:t>Sand, Black and Lavender</w:t>
            </w:r>
          </w:p>
        </w:tc>
      </w:tr>
      <w:tr w:rsidR="00867B15" w:rsidRPr="009D7A51" w14:paraId="6FED6782" w14:textId="77777777" w:rsidTr="00635781">
        <w:trPr>
          <w:cantSplit/>
          <w:trHeight w:val="300"/>
        </w:trPr>
        <w:tc>
          <w:tcPr>
            <w:tcW w:w="1093" w:type="dxa"/>
            <w:vMerge/>
          </w:tcPr>
          <w:p w14:paraId="247A6DF0" w14:textId="77777777" w:rsidR="00867B15" w:rsidRPr="009D7A51" w:rsidRDefault="00867B15" w:rsidP="00635781">
            <w:pPr>
              <w:pStyle w:val="cTableText"/>
            </w:pPr>
          </w:p>
        </w:tc>
        <w:tc>
          <w:tcPr>
            <w:tcW w:w="1471" w:type="dxa"/>
            <w:shd w:val="clear" w:color="auto" w:fill="auto"/>
            <w:noWrap/>
          </w:tcPr>
          <w:p w14:paraId="07D8641D" w14:textId="77777777" w:rsidR="00867B15" w:rsidRPr="009D7A51" w:rsidRDefault="00867B15" w:rsidP="00635781">
            <w:pPr>
              <w:pStyle w:val="cTableText"/>
            </w:pPr>
            <w:smartTag w:uri="urn:schemas-microsoft-com:office:smarttags" w:element="address">
              <w:smartTag w:uri="urn:schemas-microsoft-com:office:smarttags" w:element="Street">
                <w:r w:rsidRPr="009D7A51">
                  <w:t>Sharon</w:t>
                </w:r>
              </w:smartTag>
            </w:smartTag>
          </w:p>
        </w:tc>
        <w:tc>
          <w:tcPr>
            <w:tcW w:w="1217" w:type="dxa"/>
            <w:shd w:val="clear" w:color="auto" w:fill="auto"/>
            <w:noWrap/>
          </w:tcPr>
          <w:p w14:paraId="13856170" w14:textId="77777777" w:rsidR="00867B15" w:rsidRPr="009D7A51" w:rsidRDefault="00867B15" w:rsidP="00635781">
            <w:pPr>
              <w:pStyle w:val="cTableText"/>
            </w:pPr>
            <w:r w:rsidRPr="009D7A51">
              <w:t>Women's</w:t>
            </w:r>
          </w:p>
        </w:tc>
        <w:tc>
          <w:tcPr>
            <w:tcW w:w="1425" w:type="dxa"/>
            <w:shd w:val="clear" w:color="auto" w:fill="auto"/>
            <w:noWrap/>
          </w:tcPr>
          <w:p w14:paraId="7EF7C24D" w14:textId="77777777" w:rsidR="00867B15" w:rsidRPr="009D7A51" w:rsidRDefault="00867B15" w:rsidP="00635781">
            <w:pPr>
              <w:pStyle w:val="cTableText"/>
            </w:pPr>
            <w:r w:rsidRPr="009D7A51">
              <w:t>49</w:t>
            </w:r>
          </w:p>
        </w:tc>
        <w:tc>
          <w:tcPr>
            <w:tcW w:w="3693" w:type="dxa"/>
            <w:shd w:val="clear" w:color="auto" w:fill="auto"/>
            <w:noWrap/>
          </w:tcPr>
          <w:p w14:paraId="01E60228" w14:textId="77777777" w:rsidR="00867B15" w:rsidRPr="009D7A51" w:rsidRDefault="00867B15" w:rsidP="00635781">
            <w:pPr>
              <w:pStyle w:val="cTableText"/>
            </w:pPr>
            <w:r w:rsidRPr="009D7A51">
              <w:t>Black Crystal and Brown</w:t>
            </w:r>
          </w:p>
        </w:tc>
      </w:tr>
      <w:tr w:rsidR="00867B15" w:rsidRPr="009D7A51" w14:paraId="3F899219" w14:textId="77777777" w:rsidTr="00635781">
        <w:trPr>
          <w:cantSplit/>
          <w:trHeight w:val="300"/>
        </w:trPr>
        <w:tc>
          <w:tcPr>
            <w:tcW w:w="1093" w:type="dxa"/>
            <w:vMerge/>
          </w:tcPr>
          <w:p w14:paraId="01A8E22A" w14:textId="77777777" w:rsidR="00867B15" w:rsidRPr="009D7A51" w:rsidRDefault="00867B15" w:rsidP="00635781">
            <w:pPr>
              <w:pStyle w:val="cTableText"/>
            </w:pPr>
          </w:p>
        </w:tc>
        <w:tc>
          <w:tcPr>
            <w:tcW w:w="1471" w:type="dxa"/>
            <w:shd w:val="clear" w:color="auto" w:fill="auto"/>
            <w:noWrap/>
          </w:tcPr>
          <w:p w14:paraId="46F91A15" w14:textId="77777777" w:rsidR="00867B15" w:rsidRPr="009D7A51" w:rsidRDefault="00867B15" w:rsidP="00635781">
            <w:pPr>
              <w:pStyle w:val="cTableText"/>
            </w:pPr>
            <w:r w:rsidRPr="009D7A51">
              <w:t>Blaire</w:t>
            </w:r>
          </w:p>
        </w:tc>
        <w:tc>
          <w:tcPr>
            <w:tcW w:w="1217" w:type="dxa"/>
            <w:shd w:val="clear" w:color="auto" w:fill="auto"/>
            <w:noWrap/>
          </w:tcPr>
          <w:p w14:paraId="5D6A73A4" w14:textId="77777777" w:rsidR="00867B15" w:rsidRPr="009D7A51" w:rsidRDefault="00867B15" w:rsidP="00635781">
            <w:pPr>
              <w:pStyle w:val="cTableText"/>
            </w:pPr>
            <w:r w:rsidRPr="009D7A51">
              <w:t>Women's</w:t>
            </w:r>
          </w:p>
        </w:tc>
        <w:tc>
          <w:tcPr>
            <w:tcW w:w="1425" w:type="dxa"/>
            <w:shd w:val="clear" w:color="auto" w:fill="auto"/>
            <w:noWrap/>
          </w:tcPr>
          <w:p w14:paraId="57E341FA" w14:textId="77777777" w:rsidR="00867B15" w:rsidRPr="009D7A51" w:rsidRDefault="00867B15" w:rsidP="00635781">
            <w:pPr>
              <w:pStyle w:val="cTableText"/>
            </w:pPr>
            <w:r w:rsidRPr="009D7A51">
              <w:t>50 and 52</w:t>
            </w:r>
          </w:p>
        </w:tc>
        <w:tc>
          <w:tcPr>
            <w:tcW w:w="3693" w:type="dxa"/>
            <w:shd w:val="clear" w:color="auto" w:fill="auto"/>
            <w:noWrap/>
          </w:tcPr>
          <w:p w14:paraId="44670723" w14:textId="77777777" w:rsidR="00867B15" w:rsidRPr="009D7A51" w:rsidRDefault="00867B15" w:rsidP="00635781">
            <w:pPr>
              <w:pStyle w:val="cTableText"/>
            </w:pPr>
            <w:r w:rsidRPr="009D7A51">
              <w:t>Golden Rose, Nutmeg and Dove</w:t>
            </w:r>
          </w:p>
        </w:tc>
      </w:tr>
      <w:tr w:rsidR="00867B15" w:rsidRPr="009D7A51" w14:paraId="500A7D20" w14:textId="77777777" w:rsidTr="00635781">
        <w:trPr>
          <w:cantSplit/>
          <w:trHeight w:val="300"/>
        </w:trPr>
        <w:tc>
          <w:tcPr>
            <w:tcW w:w="1093" w:type="dxa"/>
            <w:vMerge/>
          </w:tcPr>
          <w:p w14:paraId="1BB68E65" w14:textId="77777777" w:rsidR="00867B15" w:rsidRPr="009D7A51" w:rsidRDefault="00867B15" w:rsidP="00635781">
            <w:pPr>
              <w:pStyle w:val="cTableText"/>
            </w:pPr>
          </w:p>
        </w:tc>
        <w:tc>
          <w:tcPr>
            <w:tcW w:w="1471" w:type="dxa"/>
            <w:shd w:val="clear" w:color="auto" w:fill="auto"/>
            <w:noWrap/>
          </w:tcPr>
          <w:p w14:paraId="45816CD7" w14:textId="77777777" w:rsidR="00867B15" w:rsidRPr="009D7A51" w:rsidRDefault="00867B15" w:rsidP="00635781">
            <w:pPr>
              <w:pStyle w:val="cTableText"/>
            </w:pPr>
            <w:proofErr w:type="gramStart"/>
            <w:r w:rsidRPr="009D7A51">
              <w:t>Gypsy</w:t>
            </w:r>
            <w:proofErr w:type="gramEnd"/>
          </w:p>
        </w:tc>
        <w:tc>
          <w:tcPr>
            <w:tcW w:w="1217" w:type="dxa"/>
            <w:shd w:val="clear" w:color="auto" w:fill="auto"/>
            <w:noWrap/>
          </w:tcPr>
          <w:p w14:paraId="11395E22" w14:textId="77777777" w:rsidR="00867B15" w:rsidRPr="009D7A51" w:rsidRDefault="00867B15" w:rsidP="00635781">
            <w:pPr>
              <w:pStyle w:val="cTableText"/>
            </w:pPr>
            <w:r w:rsidRPr="009D7A51">
              <w:t>Women’s</w:t>
            </w:r>
          </w:p>
        </w:tc>
        <w:tc>
          <w:tcPr>
            <w:tcW w:w="1425" w:type="dxa"/>
            <w:shd w:val="clear" w:color="auto" w:fill="auto"/>
            <w:noWrap/>
          </w:tcPr>
          <w:p w14:paraId="60DCF2A6" w14:textId="77777777" w:rsidR="00867B15" w:rsidRPr="009D7A51" w:rsidRDefault="00867B15" w:rsidP="00635781">
            <w:pPr>
              <w:pStyle w:val="cTableText"/>
            </w:pPr>
            <w:r w:rsidRPr="009D7A51">
              <w:t>55 and 57</w:t>
            </w:r>
          </w:p>
        </w:tc>
        <w:tc>
          <w:tcPr>
            <w:tcW w:w="3693" w:type="dxa"/>
            <w:shd w:val="clear" w:color="auto" w:fill="auto"/>
            <w:noWrap/>
          </w:tcPr>
          <w:p w14:paraId="1755C245" w14:textId="77777777" w:rsidR="00867B15" w:rsidRPr="009D7A51" w:rsidRDefault="00867B15" w:rsidP="00635781">
            <w:pPr>
              <w:pStyle w:val="cTableText"/>
            </w:pPr>
            <w:r w:rsidRPr="009D7A51">
              <w:t>Demi, Black and Lavender</w:t>
            </w:r>
          </w:p>
        </w:tc>
      </w:tr>
      <w:tr w:rsidR="00867B15" w:rsidRPr="009D7A51" w14:paraId="0FBB9A89" w14:textId="77777777" w:rsidTr="00635781">
        <w:trPr>
          <w:cantSplit/>
          <w:trHeight w:val="300"/>
        </w:trPr>
        <w:tc>
          <w:tcPr>
            <w:tcW w:w="1093" w:type="dxa"/>
            <w:vMerge/>
          </w:tcPr>
          <w:p w14:paraId="3D6F06F9" w14:textId="77777777" w:rsidR="00867B15" w:rsidRPr="009D7A51" w:rsidRDefault="00867B15" w:rsidP="00635781">
            <w:pPr>
              <w:pStyle w:val="cTableText"/>
            </w:pPr>
          </w:p>
        </w:tc>
        <w:tc>
          <w:tcPr>
            <w:tcW w:w="1471" w:type="dxa"/>
            <w:shd w:val="clear" w:color="auto" w:fill="auto"/>
            <w:noWrap/>
          </w:tcPr>
          <w:p w14:paraId="676B49D5" w14:textId="77777777" w:rsidR="00867B15" w:rsidRPr="009D7A51" w:rsidRDefault="00867B15" w:rsidP="00635781">
            <w:pPr>
              <w:pStyle w:val="cTableText"/>
            </w:pPr>
            <w:r w:rsidRPr="009D7A51">
              <w:t>Sam</w:t>
            </w:r>
          </w:p>
        </w:tc>
        <w:tc>
          <w:tcPr>
            <w:tcW w:w="1217" w:type="dxa"/>
            <w:shd w:val="clear" w:color="auto" w:fill="auto"/>
            <w:noWrap/>
          </w:tcPr>
          <w:p w14:paraId="19FC663E" w14:textId="77777777" w:rsidR="00867B15" w:rsidRPr="009D7A51" w:rsidRDefault="00867B15" w:rsidP="00635781">
            <w:pPr>
              <w:pStyle w:val="cTableText"/>
            </w:pPr>
            <w:r w:rsidRPr="009D7A51">
              <w:t>Men's</w:t>
            </w:r>
          </w:p>
        </w:tc>
        <w:tc>
          <w:tcPr>
            <w:tcW w:w="1425" w:type="dxa"/>
            <w:shd w:val="clear" w:color="auto" w:fill="auto"/>
            <w:noWrap/>
          </w:tcPr>
          <w:p w14:paraId="02EB27A7" w14:textId="77777777" w:rsidR="00867B15" w:rsidRPr="009D7A51" w:rsidRDefault="00867B15" w:rsidP="00635781">
            <w:pPr>
              <w:pStyle w:val="cTableText"/>
            </w:pPr>
            <w:r w:rsidRPr="009D7A51">
              <w:t>49 and 51</w:t>
            </w:r>
          </w:p>
        </w:tc>
        <w:tc>
          <w:tcPr>
            <w:tcW w:w="3693" w:type="dxa"/>
            <w:shd w:val="clear" w:color="auto" w:fill="auto"/>
            <w:noWrap/>
          </w:tcPr>
          <w:p w14:paraId="125CDDF4" w14:textId="77777777" w:rsidR="00867B15" w:rsidRPr="009D7A51" w:rsidRDefault="00867B15" w:rsidP="00635781">
            <w:pPr>
              <w:pStyle w:val="cTableText"/>
            </w:pPr>
            <w:r w:rsidRPr="009D7A51">
              <w:t>Brown, Gunmetal and Black</w:t>
            </w:r>
          </w:p>
        </w:tc>
      </w:tr>
      <w:tr w:rsidR="00867B15" w:rsidRPr="009D7A51" w14:paraId="3289A7F9" w14:textId="77777777" w:rsidTr="00635781">
        <w:trPr>
          <w:cantSplit/>
          <w:trHeight w:val="300"/>
        </w:trPr>
        <w:tc>
          <w:tcPr>
            <w:tcW w:w="1093" w:type="dxa"/>
            <w:vMerge/>
          </w:tcPr>
          <w:p w14:paraId="2B24296D" w14:textId="77777777" w:rsidR="00867B15" w:rsidRPr="009D7A51" w:rsidRDefault="00867B15" w:rsidP="00635781">
            <w:pPr>
              <w:pStyle w:val="cTableText"/>
            </w:pPr>
          </w:p>
        </w:tc>
        <w:tc>
          <w:tcPr>
            <w:tcW w:w="1471" w:type="dxa"/>
            <w:shd w:val="clear" w:color="auto" w:fill="auto"/>
            <w:noWrap/>
          </w:tcPr>
          <w:p w14:paraId="25560228" w14:textId="77777777" w:rsidR="00867B15" w:rsidRPr="009D7A51" w:rsidRDefault="00867B15" w:rsidP="00635781">
            <w:pPr>
              <w:pStyle w:val="cTableText"/>
            </w:pPr>
            <w:r w:rsidRPr="009D7A51">
              <w:t>Gracy</w:t>
            </w:r>
          </w:p>
        </w:tc>
        <w:tc>
          <w:tcPr>
            <w:tcW w:w="1217" w:type="dxa"/>
            <w:shd w:val="clear" w:color="auto" w:fill="auto"/>
            <w:noWrap/>
          </w:tcPr>
          <w:p w14:paraId="6F9D7DEA" w14:textId="77777777" w:rsidR="00867B15" w:rsidRPr="009D7A51" w:rsidRDefault="00867B15" w:rsidP="00635781">
            <w:pPr>
              <w:pStyle w:val="cTableText"/>
            </w:pPr>
            <w:r w:rsidRPr="009D7A51">
              <w:t>Women’s</w:t>
            </w:r>
          </w:p>
        </w:tc>
        <w:tc>
          <w:tcPr>
            <w:tcW w:w="1425" w:type="dxa"/>
            <w:shd w:val="clear" w:color="auto" w:fill="auto"/>
            <w:noWrap/>
          </w:tcPr>
          <w:p w14:paraId="07F45B7E" w14:textId="77777777" w:rsidR="00867B15" w:rsidRPr="009D7A51" w:rsidRDefault="00867B15" w:rsidP="00635781">
            <w:pPr>
              <w:pStyle w:val="cTableText"/>
            </w:pPr>
            <w:r w:rsidRPr="009D7A51">
              <w:t>52 and 54</w:t>
            </w:r>
          </w:p>
        </w:tc>
        <w:tc>
          <w:tcPr>
            <w:tcW w:w="3693" w:type="dxa"/>
            <w:shd w:val="clear" w:color="auto" w:fill="auto"/>
            <w:noWrap/>
          </w:tcPr>
          <w:p w14:paraId="4466B063" w14:textId="77777777" w:rsidR="00867B15" w:rsidRPr="009D7A51" w:rsidRDefault="00867B15" w:rsidP="00635781">
            <w:pPr>
              <w:pStyle w:val="cTableText"/>
            </w:pPr>
            <w:r w:rsidRPr="009D7A51">
              <w:t>Brown, Bleu and Rose</w:t>
            </w:r>
          </w:p>
        </w:tc>
      </w:tr>
      <w:tr w:rsidR="00867B15" w:rsidRPr="009D7A51" w14:paraId="02F6D434" w14:textId="77777777" w:rsidTr="00635781">
        <w:trPr>
          <w:cantSplit/>
          <w:trHeight w:val="300"/>
        </w:trPr>
        <w:tc>
          <w:tcPr>
            <w:tcW w:w="1093" w:type="dxa"/>
            <w:vMerge/>
          </w:tcPr>
          <w:p w14:paraId="65FDC569" w14:textId="77777777" w:rsidR="00867B15" w:rsidRPr="009D7A51" w:rsidRDefault="00867B15" w:rsidP="00635781">
            <w:pPr>
              <w:pStyle w:val="cTableText"/>
            </w:pPr>
          </w:p>
        </w:tc>
        <w:tc>
          <w:tcPr>
            <w:tcW w:w="1471" w:type="dxa"/>
            <w:shd w:val="clear" w:color="auto" w:fill="auto"/>
            <w:noWrap/>
          </w:tcPr>
          <w:p w14:paraId="538B31B3" w14:textId="77777777" w:rsidR="00867B15" w:rsidRPr="009D7A51" w:rsidRDefault="00867B15" w:rsidP="00635781">
            <w:pPr>
              <w:pStyle w:val="cTableText"/>
            </w:pPr>
            <w:r w:rsidRPr="009D7A51">
              <w:t>Henry</w:t>
            </w:r>
          </w:p>
        </w:tc>
        <w:tc>
          <w:tcPr>
            <w:tcW w:w="1217" w:type="dxa"/>
            <w:shd w:val="clear" w:color="auto" w:fill="auto"/>
            <w:noWrap/>
          </w:tcPr>
          <w:p w14:paraId="1DFE70BA" w14:textId="77777777" w:rsidR="00867B15" w:rsidRPr="009D7A51" w:rsidRDefault="00867B15" w:rsidP="00635781">
            <w:pPr>
              <w:pStyle w:val="cTableText"/>
            </w:pPr>
            <w:r w:rsidRPr="009D7A51">
              <w:t>Men's</w:t>
            </w:r>
          </w:p>
        </w:tc>
        <w:tc>
          <w:tcPr>
            <w:tcW w:w="1425" w:type="dxa"/>
            <w:shd w:val="clear" w:color="auto" w:fill="auto"/>
            <w:noWrap/>
          </w:tcPr>
          <w:p w14:paraId="45375B19" w14:textId="77777777" w:rsidR="00867B15" w:rsidRPr="009D7A51" w:rsidRDefault="00867B15" w:rsidP="00635781">
            <w:pPr>
              <w:pStyle w:val="cTableText"/>
            </w:pPr>
            <w:r w:rsidRPr="009D7A51">
              <w:t>52, 54, 56 and 58</w:t>
            </w:r>
          </w:p>
        </w:tc>
        <w:tc>
          <w:tcPr>
            <w:tcW w:w="3693" w:type="dxa"/>
            <w:shd w:val="clear" w:color="auto" w:fill="auto"/>
            <w:noWrap/>
          </w:tcPr>
          <w:p w14:paraId="77AEAB84" w14:textId="77777777" w:rsidR="00867B15" w:rsidRPr="009D7A51" w:rsidRDefault="00867B15" w:rsidP="00635781">
            <w:pPr>
              <w:pStyle w:val="cTableText"/>
            </w:pPr>
            <w:r w:rsidRPr="009D7A51">
              <w:t xml:space="preserve">Gold, Gold/Demi </w:t>
            </w:r>
            <w:proofErr w:type="gramStart"/>
            <w:r w:rsidRPr="009D7A51">
              <w:t>Amber</w:t>
            </w:r>
            <w:proofErr w:type="gramEnd"/>
            <w:r w:rsidRPr="009D7A51">
              <w:t xml:space="preserve"> and Gunmetal/Tortoise</w:t>
            </w:r>
          </w:p>
        </w:tc>
      </w:tr>
      <w:tr w:rsidR="00867B15" w:rsidRPr="009D7A51" w14:paraId="6B56E822" w14:textId="77777777" w:rsidTr="00635781">
        <w:trPr>
          <w:cantSplit/>
          <w:trHeight w:val="300"/>
        </w:trPr>
        <w:tc>
          <w:tcPr>
            <w:tcW w:w="1093" w:type="dxa"/>
            <w:vMerge/>
          </w:tcPr>
          <w:p w14:paraId="52377C12" w14:textId="77777777" w:rsidR="00867B15" w:rsidRPr="009D7A51" w:rsidRDefault="00867B15" w:rsidP="00635781">
            <w:pPr>
              <w:pStyle w:val="cTableText"/>
            </w:pPr>
          </w:p>
        </w:tc>
        <w:tc>
          <w:tcPr>
            <w:tcW w:w="1471" w:type="dxa"/>
            <w:shd w:val="clear" w:color="auto" w:fill="auto"/>
            <w:noWrap/>
          </w:tcPr>
          <w:p w14:paraId="359FACB0" w14:textId="77777777" w:rsidR="00867B15" w:rsidRPr="009D7A51" w:rsidRDefault="00867B15" w:rsidP="00635781">
            <w:pPr>
              <w:pStyle w:val="cTableText"/>
              <w:tabs>
                <w:tab w:val="left" w:pos="1035"/>
              </w:tabs>
            </w:pPr>
            <w:r w:rsidRPr="009D7A51">
              <w:t>Chet</w:t>
            </w:r>
          </w:p>
        </w:tc>
        <w:tc>
          <w:tcPr>
            <w:tcW w:w="1217" w:type="dxa"/>
            <w:shd w:val="clear" w:color="auto" w:fill="auto"/>
            <w:noWrap/>
          </w:tcPr>
          <w:p w14:paraId="49B0A6DE" w14:textId="77777777" w:rsidR="00867B15" w:rsidRPr="009D7A51" w:rsidRDefault="00867B15" w:rsidP="00635781">
            <w:pPr>
              <w:pStyle w:val="cTableText"/>
            </w:pPr>
            <w:r w:rsidRPr="009D7A51">
              <w:t>Men's</w:t>
            </w:r>
          </w:p>
        </w:tc>
        <w:tc>
          <w:tcPr>
            <w:tcW w:w="1425" w:type="dxa"/>
            <w:shd w:val="clear" w:color="auto" w:fill="auto"/>
            <w:noWrap/>
          </w:tcPr>
          <w:p w14:paraId="18FE5EB4" w14:textId="77777777" w:rsidR="00867B15" w:rsidRPr="009D7A51" w:rsidRDefault="00867B15" w:rsidP="00635781">
            <w:pPr>
              <w:pStyle w:val="cTableText"/>
            </w:pPr>
            <w:r w:rsidRPr="009D7A51">
              <w:t>54 and 56</w:t>
            </w:r>
          </w:p>
        </w:tc>
        <w:tc>
          <w:tcPr>
            <w:tcW w:w="3693" w:type="dxa"/>
            <w:shd w:val="clear" w:color="auto" w:fill="auto"/>
            <w:noWrap/>
          </w:tcPr>
          <w:p w14:paraId="7183E0E0" w14:textId="77777777" w:rsidR="00867B15" w:rsidRPr="009D7A51" w:rsidRDefault="00867B15" w:rsidP="00635781">
            <w:pPr>
              <w:pStyle w:val="cTableText"/>
            </w:pPr>
            <w:r w:rsidRPr="009D7A51">
              <w:t>Brown and Gunmetal</w:t>
            </w:r>
          </w:p>
        </w:tc>
      </w:tr>
      <w:tr w:rsidR="00867B15" w:rsidRPr="009D7A51" w14:paraId="5E5CAE9D" w14:textId="77777777" w:rsidTr="00635781">
        <w:trPr>
          <w:cantSplit/>
          <w:trHeight w:val="300"/>
        </w:trPr>
        <w:tc>
          <w:tcPr>
            <w:tcW w:w="1093" w:type="dxa"/>
            <w:vMerge/>
          </w:tcPr>
          <w:p w14:paraId="00145CD0" w14:textId="77777777" w:rsidR="00867B15" w:rsidRPr="009D7A51" w:rsidRDefault="00867B15" w:rsidP="00635781">
            <w:pPr>
              <w:pStyle w:val="cTableText"/>
            </w:pPr>
          </w:p>
        </w:tc>
        <w:tc>
          <w:tcPr>
            <w:tcW w:w="1471" w:type="dxa"/>
            <w:shd w:val="clear" w:color="auto" w:fill="auto"/>
            <w:noWrap/>
          </w:tcPr>
          <w:p w14:paraId="28393FCD" w14:textId="77777777" w:rsidR="00867B15" w:rsidRPr="009D7A51" w:rsidRDefault="00867B15" w:rsidP="00635781">
            <w:pPr>
              <w:pStyle w:val="cTableText"/>
              <w:tabs>
                <w:tab w:val="left" w:pos="1035"/>
              </w:tabs>
            </w:pPr>
            <w:r w:rsidRPr="009D7A51">
              <w:t>Aimee</w:t>
            </w:r>
          </w:p>
        </w:tc>
        <w:tc>
          <w:tcPr>
            <w:tcW w:w="1217" w:type="dxa"/>
            <w:shd w:val="clear" w:color="auto" w:fill="auto"/>
            <w:noWrap/>
          </w:tcPr>
          <w:p w14:paraId="375163B5" w14:textId="77777777" w:rsidR="00867B15" w:rsidRPr="009D7A51" w:rsidRDefault="00867B15" w:rsidP="00635781">
            <w:pPr>
              <w:pStyle w:val="cTableText"/>
            </w:pPr>
            <w:r w:rsidRPr="009D7A51">
              <w:t>Women’s</w:t>
            </w:r>
          </w:p>
        </w:tc>
        <w:tc>
          <w:tcPr>
            <w:tcW w:w="1425" w:type="dxa"/>
            <w:shd w:val="clear" w:color="auto" w:fill="auto"/>
            <w:noWrap/>
          </w:tcPr>
          <w:p w14:paraId="486ADBC3" w14:textId="77777777" w:rsidR="00867B15" w:rsidRPr="009D7A51" w:rsidRDefault="00867B15" w:rsidP="00635781">
            <w:pPr>
              <w:pStyle w:val="cTableText"/>
            </w:pPr>
            <w:r w:rsidRPr="009D7A51">
              <w:t>54 and 56</w:t>
            </w:r>
          </w:p>
        </w:tc>
        <w:tc>
          <w:tcPr>
            <w:tcW w:w="3693" w:type="dxa"/>
            <w:shd w:val="clear" w:color="auto" w:fill="auto"/>
            <w:noWrap/>
          </w:tcPr>
          <w:p w14:paraId="467DACD8" w14:textId="77777777" w:rsidR="00867B15" w:rsidRPr="009D7A51" w:rsidRDefault="00867B15" w:rsidP="00635781">
            <w:pPr>
              <w:pStyle w:val="cTableText"/>
            </w:pPr>
            <w:r w:rsidRPr="009D7A51">
              <w:t xml:space="preserve">Brown, </w:t>
            </w:r>
            <w:proofErr w:type="gramStart"/>
            <w:r w:rsidRPr="009D7A51">
              <w:t>Purple</w:t>
            </w:r>
            <w:proofErr w:type="gramEnd"/>
            <w:r w:rsidRPr="009D7A51">
              <w:t xml:space="preserve"> and Rose</w:t>
            </w:r>
          </w:p>
        </w:tc>
      </w:tr>
      <w:tr w:rsidR="00867B15" w:rsidRPr="009D7A51" w14:paraId="4C45A818" w14:textId="77777777" w:rsidTr="00635781">
        <w:trPr>
          <w:cantSplit/>
          <w:trHeight w:val="300"/>
        </w:trPr>
        <w:tc>
          <w:tcPr>
            <w:tcW w:w="1093" w:type="dxa"/>
            <w:vMerge/>
          </w:tcPr>
          <w:p w14:paraId="24A39634" w14:textId="77777777" w:rsidR="00867B15" w:rsidRPr="009D7A51" w:rsidRDefault="00867B15" w:rsidP="00635781">
            <w:pPr>
              <w:pStyle w:val="cTableText"/>
            </w:pPr>
          </w:p>
        </w:tc>
        <w:tc>
          <w:tcPr>
            <w:tcW w:w="1471" w:type="dxa"/>
            <w:shd w:val="clear" w:color="auto" w:fill="auto"/>
            <w:noWrap/>
          </w:tcPr>
          <w:p w14:paraId="32C60236" w14:textId="77777777" w:rsidR="00867B15" w:rsidRPr="009D7A51" w:rsidRDefault="00867B15" w:rsidP="00635781">
            <w:pPr>
              <w:pStyle w:val="cTableText"/>
            </w:pPr>
            <w:r w:rsidRPr="009D7A51">
              <w:t>Gwen</w:t>
            </w:r>
          </w:p>
        </w:tc>
        <w:tc>
          <w:tcPr>
            <w:tcW w:w="1217" w:type="dxa"/>
            <w:shd w:val="clear" w:color="auto" w:fill="auto"/>
            <w:noWrap/>
          </w:tcPr>
          <w:p w14:paraId="714FA9BB" w14:textId="77777777" w:rsidR="00867B15" w:rsidRPr="009D7A51" w:rsidRDefault="00867B15" w:rsidP="00635781">
            <w:pPr>
              <w:pStyle w:val="cTableText"/>
            </w:pPr>
            <w:r w:rsidRPr="009D7A51">
              <w:t>Women's</w:t>
            </w:r>
          </w:p>
        </w:tc>
        <w:tc>
          <w:tcPr>
            <w:tcW w:w="1425" w:type="dxa"/>
            <w:shd w:val="clear" w:color="auto" w:fill="auto"/>
            <w:noWrap/>
          </w:tcPr>
          <w:p w14:paraId="182F5C27" w14:textId="77777777" w:rsidR="00867B15" w:rsidRPr="009D7A51" w:rsidRDefault="00867B15" w:rsidP="00635781">
            <w:pPr>
              <w:pStyle w:val="cTableText"/>
            </w:pPr>
            <w:r w:rsidRPr="009D7A51">
              <w:t>51 and 53</w:t>
            </w:r>
          </w:p>
        </w:tc>
        <w:tc>
          <w:tcPr>
            <w:tcW w:w="3693" w:type="dxa"/>
            <w:shd w:val="clear" w:color="auto" w:fill="auto"/>
            <w:noWrap/>
          </w:tcPr>
          <w:p w14:paraId="6BEF0953" w14:textId="77777777" w:rsidR="00867B15" w:rsidRPr="009D7A51" w:rsidRDefault="00867B15" w:rsidP="00635781">
            <w:pPr>
              <w:pStyle w:val="cTableText"/>
            </w:pPr>
            <w:r w:rsidRPr="009D7A51">
              <w:t>Beige, Blush and Mist</w:t>
            </w:r>
          </w:p>
        </w:tc>
      </w:tr>
      <w:tr w:rsidR="00867B15" w:rsidRPr="009D7A51" w14:paraId="75B6589A" w14:textId="77777777" w:rsidTr="00635781">
        <w:trPr>
          <w:cantSplit/>
          <w:trHeight w:val="300"/>
        </w:trPr>
        <w:tc>
          <w:tcPr>
            <w:tcW w:w="1093" w:type="dxa"/>
            <w:vMerge/>
          </w:tcPr>
          <w:p w14:paraId="274E6CC6" w14:textId="77777777" w:rsidR="00867B15" w:rsidRPr="009D7A51" w:rsidRDefault="00867B15" w:rsidP="00635781">
            <w:pPr>
              <w:pStyle w:val="cTableText"/>
            </w:pPr>
          </w:p>
        </w:tc>
        <w:tc>
          <w:tcPr>
            <w:tcW w:w="1471" w:type="dxa"/>
            <w:shd w:val="clear" w:color="auto" w:fill="auto"/>
            <w:noWrap/>
          </w:tcPr>
          <w:p w14:paraId="06AFA96C" w14:textId="77777777" w:rsidR="00867B15" w:rsidRPr="009D7A51" w:rsidRDefault="00867B15" w:rsidP="00635781">
            <w:pPr>
              <w:pStyle w:val="cTableText"/>
            </w:pPr>
            <w:r w:rsidRPr="009D7A51">
              <w:t>Debbie</w:t>
            </w:r>
          </w:p>
        </w:tc>
        <w:tc>
          <w:tcPr>
            <w:tcW w:w="1217" w:type="dxa"/>
            <w:shd w:val="clear" w:color="auto" w:fill="auto"/>
            <w:noWrap/>
          </w:tcPr>
          <w:p w14:paraId="1C033E46" w14:textId="77777777" w:rsidR="00867B15" w:rsidRPr="009D7A51" w:rsidRDefault="00867B15" w:rsidP="00635781">
            <w:pPr>
              <w:pStyle w:val="cTableText"/>
            </w:pPr>
            <w:r w:rsidRPr="009D7A51">
              <w:t>Women's</w:t>
            </w:r>
          </w:p>
        </w:tc>
        <w:tc>
          <w:tcPr>
            <w:tcW w:w="1425" w:type="dxa"/>
            <w:shd w:val="clear" w:color="auto" w:fill="auto"/>
            <w:noWrap/>
          </w:tcPr>
          <w:p w14:paraId="4378B316" w14:textId="77777777" w:rsidR="00867B15" w:rsidRPr="009D7A51" w:rsidRDefault="00867B15" w:rsidP="00635781">
            <w:pPr>
              <w:pStyle w:val="cTableText"/>
            </w:pPr>
            <w:r w:rsidRPr="009D7A51">
              <w:t>52</w:t>
            </w:r>
          </w:p>
        </w:tc>
        <w:tc>
          <w:tcPr>
            <w:tcW w:w="3693" w:type="dxa"/>
            <w:shd w:val="clear" w:color="auto" w:fill="auto"/>
            <w:noWrap/>
          </w:tcPr>
          <w:p w14:paraId="087B1A8D" w14:textId="77777777" w:rsidR="00867B15" w:rsidRPr="009D7A51" w:rsidRDefault="00867B15" w:rsidP="00635781">
            <w:pPr>
              <w:pStyle w:val="cTableText"/>
            </w:pPr>
            <w:r w:rsidRPr="009D7A51">
              <w:t>Tortoise and Black</w:t>
            </w:r>
          </w:p>
        </w:tc>
      </w:tr>
      <w:tr w:rsidR="00867B15" w:rsidRPr="009D7A51" w14:paraId="155CEC37" w14:textId="77777777" w:rsidTr="00635781">
        <w:trPr>
          <w:cantSplit/>
          <w:trHeight w:val="300"/>
        </w:trPr>
        <w:tc>
          <w:tcPr>
            <w:tcW w:w="1093" w:type="dxa"/>
            <w:vMerge/>
          </w:tcPr>
          <w:p w14:paraId="6F7213CA" w14:textId="77777777" w:rsidR="00867B15" w:rsidRPr="009D7A51" w:rsidRDefault="00867B15" w:rsidP="00635781">
            <w:pPr>
              <w:pStyle w:val="cTableText"/>
            </w:pPr>
          </w:p>
        </w:tc>
        <w:tc>
          <w:tcPr>
            <w:tcW w:w="1471" w:type="dxa"/>
            <w:shd w:val="clear" w:color="auto" w:fill="auto"/>
            <w:noWrap/>
          </w:tcPr>
          <w:p w14:paraId="066E125D" w14:textId="77777777" w:rsidR="00867B15" w:rsidRPr="009D7A51" w:rsidDel="00CD06C7" w:rsidRDefault="00867B15" w:rsidP="00635781">
            <w:pPr>
              <w:pStyle w:val="cTableText"/>
            </w:pPr>
            <w:r w:rsidRPr="009D7A51">
              <w:t>Jim</w:t>
            </w:r>
          </w:p>
        </w:tc>
        <w:tc>
          <w:tcPr>
            <w:tcW w:w="1217" w:type="dxa"/>
            <w:shd w:val="clear" w:color="auto" w:fill="auto"/>
            <w:noWrap/>
          </w:tcPr>
          <w:p w14:paraId="47C33581" w14:textId="77777777" w:rsidR="00867B15" w:rsidRPr="009D7A51" w:rsidRDefault="00867B15" w:rsidP="00635781">
            <w:pPr>
              <w:pStyle w:val="cTableText"/>
            </w:pPr>
            <w:r w:rsidRPr="009D7A51">
              <w:t>Men’s</w:t>
            </w:r>
          </w:p>
        </w:tc>
        <w:tc>
          <w:tcPr>
            <w:tcW w:w="1425" w:type="dxa"/>
            <w:shd w:val="clear" w:color="auto" w:fill="auto"/>
            <w:noWrap/>
          </w:tcPr>
          <w:p w14:paraId="26E866CA" w14:textId="77777777" w:rsidR="00867B15" w:rsidRPr="009D7A51" w:rsidDel="00CD06C7" w:rsidRDefault="00867B15" w:rsidP="00635781">
            <w:pPr>
              <w:pStyle w:val="cTableText"/>
            </w:pPr>
            <w:r w:rsidRPr="009D7A51">
              <w:t>53, 55 and 59</w:t>
            </w:r>
          </w:p>
        </w:tc>
        <w:tc>
          <w:tcPr>
            <w:tcW w:w="3693" w:type="dxa"/>
            <w:shd w:val="clear" w:color="auto" w:fill="auto"/>
            <w:noWrap/>
          </w:tcPr>
          <w:p w14:paraId="3CBC0D74" w14:textId="77777777" w:rsidR="00867B15" w:rsidRPr="009D7A51" w:rsidDel="00CD06C7" w:rsidRDefault="00867B15" w:rsidP="00635781">
            <w:pPr>
              <w:pStyle w:val="cTableText"/>
            </w:pPr>
            <w:r w:rsidRPr="009D7A51">
              <w:t>Brown, Gunmetal and Gold</w:t>
            </w:r>
          </w:p>
        </w:tc>
      </w:tr>
      <w:tr w:rsidR="00867B15" w:rsidRPr="009D7A51" w14:paraId="52DE12AF" w14:textId="77777777" w:rsidTr="00635781">
        <w:trPr>
          <w:cantSplit/>
          <w:trHeight w:val="300"/>
        </w:trPr>
        <w:tc>
          <w:tcPr>
            <w:tcW w:w="1093" w:type="dxa"/>
            <w:vMerge/>
          </w:tcPr>
          <w:p w14:paraId="28DEC1FD" w14:textId="77777777" w:rsidR="00867B15" w:rsidRPr="009D7A51" w:rsidRDefault="00867B15" w:rsidP="00635781">
            <w:pPr>
              <w:pStyle w:val="cTableText"/>
            </w:pPr>
          </w:p>
        </w:tc>
        <w:tc>
          <w:tcPr>
            <w:tcW w:w="1471" w:type="dxa"/>
            <w:shd w:val="clear" w:color="auto" w:fill="auto"/>
            <w:noWrap/>
          </w:tcPr>
          <w:p w14:paraId="04C4CFBF" w14:textId="77777777" w:rsidR="00867B15" w:rsidRPr="009D7A51" w:rsidRDefault="00867B15" w:rsidP="00635781">
            <w:pPr>
              <w:pStyle w:val="cTableText"/>
            </w:pPr>
            <w:r w:rsidRPr="009D7A51">
              <w:t>Bryant</w:t>
            </w:r>
          </w:p>
        </w:tc>
        <w:tc>
          <w:tcPr>
            <w:tcW w:w="1217" w:type="dxa"/>
            <w:shd w:val="clear" w:color="auto" w:fill="auto"/>
            <w:noWrap/>
          </w:tcPr>
          <w:p w14:paraId="0D6274C8" w14:textId="77777777" w:rsidR="00867B15" w:rsidRPr="009D7A51" w:rsidRDefault="00867B15" w:rsidP="00635781">
            <w:pPr>
              <w:pStyle w:val="cTableText"/>
            </w:pPr>
            <w:r w:rsidRPr="009D7A51">
              <w:t>Men’s</w:t>
            </w:r>
          </w:p>
        </w:tc>
        <w:tc>
          <w:tcPr>
            <w:tcW w:w="1425" w:type="dxa"/>
            <w:shd w:val="clear" w:color="auto" w:fill="auto"/>
            <w:noWrap/>
          </w:tcPr>
          <w:p w14:paraId="1526DE72" w14:textId="77777777" w:rsidR="00867B15" w:rsidRPr="009D7A51" w:rsidRDefault="00867B15" w:rsidP="00635781">
            <w:pPr>
              <w:pStyle w:val="cTableText"/>
            </w:pPr>
            <w:r w:rsidRPr="009D7A51">
              <w:t>49 and 51</w:t>
            </w:r>
          </w:p>
        </w:tc>
        <w:tc>
          <w:tcPr>
            <w:tcW w:w="3693" w:type="dxa"/>
            <w:shd w:val="clear" w:color="auto" w:fill="auto"/>
            <w:noWrap/>
          </w:tcPr>
          <w:p w14:paraId="0F308153" w14:textId="77777777" w:rsidR="00867B15" w:rsidRPr="009D7A51" w:rsidRDefault="00867B15" w:rsidP="00635781">
            <w:pPr>
              <w:pStyle w:val="cTableText"/>
            </w:pPr>
            <w:r w:rsidRPr="009D7A51">
              <w:t xml:space="preserve">Black, </w:t>
            </w:r>
            <w:proofErr w:type="gramStart"/>
            <w:r w:rsidRPr="009D7A51">
              <w:t>Brown</w:t>
            </w:r>
            <w:proofErr w:type="gramEnd"/>
            <w:r w:rsidRPr="009D7A51">
              <w:t xml:space="preserve"> and Gunmetal</w:t>
            </w:r>
          </w:p>
        </w:tc>
      </w:tr>
      <w:tr w:rsidR="00867B15" w:rsidRPr="009D7A51" w14:paraId="2231CD32" w14:textId="77777777" w:rsidTr="00635781">
        <w:trPr>
          <w:cantSplit/>
          <w:trHeight w:val="300"/>
        </w:trPr>
        <w:tc>
          <w:tcPr>
            <w:tcW w:w="1093" w:type="dxa"/>
            <w:vMerge/>
          </w:tcPr>
          <w:p w14:paraId="2C7FB2FE" w14:textId="77777777" w:rsidR="00867B15" w:rsidRPr="009D7A51" w:rsidRDefault="00867B15" w:rsidP="00635781">
            <w:pPr>
              <w:pStyle w:val="cTableText"/>
            </w:pPr>
          </w:p>
        </w:tc>
        <w:tc>
          <w:tcPr>
            <w:tcW w:w="1471" w:type="dxa"/>
            <w:shd w:val="clear" w:color="auto" w:fill="auto"/>
            <w:noWrap/>
          </w:tcPr>
          <w:p w14:paraId="3A0297EF" w14:textId="77777777" w:rsidR="00867B15" w:rsidRPr="009D7A51" w:rsidRDefault="00867B15" w:rsidP="00635781">
            <w:pPr>
              <w:pStyle w:val="cTableText"/>
            </w:pPr>
            <w:r w:rsidRPr="009D7A51">
              <w:t>Leya</w:t>
            </w:r>
          </w:p>
        </w:tc>
        <w:tc>
          <w:tcPr>
            <w:tcW w:w="1217" w:type="dxa"/>
            <w:shd w:val="clear" w:color="auto" w:fill="auto"/>
            <w:noWrap/>
          </w:tcPr>
          <w:p w14:paraId="108B879D" w14:textId="77777777" w:rsidR="00867B15" w:rsidRPr="009D7A51" w:rsidRDefault="00867B15" w:rsidP="00635781">
            <w:pPr>
              <w:pStyle w:val="cTableText"/>
            </w:pPr>
            <w:r w:rsidRPr="009D7A51">
              <w:t>Women’s</w:t>
            </w:r>
          </w:p>
        </w:tc>
        <w:tc>
          <w:tcPr>
            <w:tcW w:w="1425" w:type="dxa"/>
            <w:shd w:val="clear" w:color="auto" w:fill="auto"/>
            <w:noWrap/>
          </w:tcPr>
          <w:p w14:paraId="53DE5911" w14:textId="77777777" w:rsidR="00867B15" w:rsidRPr="009D7A51" w:rsidRDefault="00867B15" w:rsidP="00635781">
            <w:pPr>
              <w:pStyle w:val="cTableText"/>
            </w:pPr>
            <w:r w:rsidRPr="009D7A51">
              <w:t>45 and 47</w:t>
            </w:r>
          </w:p>
        </w:tc>
        <w:tc>
          <w:tcPr>
            <w:tcW w:w="3693" w:type="dxa"/>
            <w:shd w:val="clear" w:color="auto" w:fill="auto"/>
            <w:noWrap/>
          </w:tcPr>
          <w:p w14:paraId="140BC283" w14:textId="77777777" w:rsidR="00867B15" w:rsidRPr="009D7A51" w:rsidRDefault="00867B15" w:rsidP="00635781">
            <w:pPr>
              <w:pStyle w:val="cTableText"/>
            </w:pPr>
            <w:r w:rsidRPr="009D7A51">
              <w:t xml:space="preserve">Brown, Grape, Black and </w:t>
            </w:r>
            <w:smartTag w:uri="urn:schemas-microsoft-com:office:smarttags" w:element="Street">
              <w:r w:rsidRPr="009D7A51">
                <w:t>Plum</w:t>
              </w:r>
            </w:smartTag>
          </w:p>
        </w:tc>
      </w:tr>
      <w:tr w:rsidR="00867B15" w:rsidRPr="009D7A51" w14:paraId="192EC558" w14:textId="77777777" w:rsidTr="00635781">
        <w:trPr>
          <w:cantSplit/>
          <w:trHeight w:val="300"/>
        </w:trPr>
        <w:tc>
          <w:tcPr>
            <w:tcW w:w="1093" w:type="dxa"/>
            <w:vMerge w:val="restart"/>
          </w:tcPr>
          <w:p w14:paraId="6B99B414" w14:textId="77777777" w:rsidR="00867B15" w:rsidRPr="009D7A51" w:rsidRDefault="00867B15" w:rsidP="00635781">
            <w:pPr>
              <w:pStyle w:val="cTableText"/>
            </w:pPr>
            <w:r w:rsidRPr="009D7A51">
              <w:t>United</w:t>
            </w:r>
          </w:p>
        </w:tc>
        <w:tc>
          <w:tcPr>
            <w:tcW w:w="1471" w:type="dxa"/>
            <w:shd w:val="clear" w:color="auto" w:fill="auto"/>
            <w:noWrap/>
          </w:tcPr>
          <w:p w14:paraId="029E56F5" w14:textId="77777777" w:rsidR="00867B15" w:rsidRPr="009D7A51" w:rsidRDefault="00867B15" w:rsidP="00635781">
            <w:pPr>
              <w:pStyle w:val="cTableText"/>
            </w:pPr>
            <w:r w:rsidRPr="009D7A51">
              <w:t>Destiny</w:t>
            </w:r>
          </w:p>
        </w:tc>
        <w:tc>
          <w:tcPr>
            <w:tcW w:w="1217" w:type="dxa"/>
            <w:shd w:val="clear" w:color="auto" w:fill="auto"/>
            <w:noWrap/>
          </w:tcPr>
          <w:p w14:paraId="0F7AB9DE" w14:textId="77777777" w:rsidR="00867B15" w:rsidRPr="009D7A51" w:rsidRDefault="00867B15" w:rsidP="00635781">
            <w:pPr>
              <w:pStyle w:val="cTableText"/>
            </w:pPr>
            <w:r w:rsidRPr="009D7A51">
              <w:t>Unisex</w:t>
            </w:r>
          </w:p>
        </w:tc>
        <w:tc>
          <w:tcPr>
            <w:tcW w:w="1425" w:type="dxa"/>
            <w:shd w:val="clear" w:color="auto" w:fill="auto"/>
            <w:noWrap/>
          </w:tcPr>
          <w:p w14:paraId="72392A5A" w14:textId="77777777" w:rsidR="00867B15" w:rsidRPr="009D7A51" w:rsidRDefault="00867B15" w:rsidP="00635781">
            <w:pPr>
              <w:pStyle w:val="cTableText"/>
            </w:pPr>
            <w:r w:rsidRPr="009D7A51">
              <w:t>47</w:t>
            </w:r>
          </w:p>
        </w:tc>
        <w:tc>
          <w:tcPr>
            <w:tcW w:w="3693" w:type="dxa"/>
            <w:shd w:val="clear" w:color="auto" w:fill="auto"/>
            <w:noWrap/>
          </w:tcPr>
          <w:p w14:paraId="161AB216" w14:textId="77777777" w:rsidR="00867B15" w:rsidRPr="009D7A51" w:rsidRDefault="00867B15" w:rsidP="00635781">
            <w:pPr>
              <w:pStyle w:val="cTableText"/>
            </w:pPr>
            <w:r w:rsidRPr="009D7A51">
              <w:t>Coffee, C2 Matte Black and C3 Matte Silver</w:t>
            </w:r>
          </w:p>
        </w:tc>
      </w:tr>
      <w:tr w:rsidR="00867B15" w:rsidRPr="009D7A51" w14:paraId="10924E6D" w14:textId="77777777" w:rsidTr="00635781">
        <w:trPr>
          <w:cantSplit/>
          <w:trHeight w:val="300"/>
        </w:trPr>
        <w:tc>
          <w:tcPr>
            <w:tcW w:w="1093" w:type="dxa"/>
            <w:vMerge/>
          </w:tcPr>
          <w:p w14:paraId="32558228" w14:textId="77777777" w:rsidR="00867B15" w:rsidRPr="009D7A51" w:rsidRDefault="00867B15" w:rsidP="00635781">
            <w:pPr>
              <w:pStyle w:val="cTableText"/>
            </w:pPr>
          </w:p>
        </w:tc>
        <w:tc>
          <w:tcPr>
            <w:tcW w:w="1471" w:type="dxa"/>
            <w:shd w:val="clear" w:color="auto" w:fill="auto"/>
            <w:noWrap/>
          </w:tcPr>
          <w:p w14:paraId="156F136C" w14:textId="77777777" w:rsidR="00867B15" w:rsidRPr="009D7A51" w:rsidRDefault="00867B15" w:rsidP="00635781">
            <w:pPr>
              <w:pStyle w:val="cTableText"/>
            </w:pPr>
            <w:r w:rsidRPr="009D7A51">
              <w:t>Steve</w:t>
            </w:r>
          </w:p>
        </w:tc>
        <w:tc>
          <w:tcPr>
            <w:tcW w:w="1217" w:type="dxa"/>
            <w:shd w:val="clear" w:color="auto" w:fill="auto"/>
            <w:noWrap/>
          </w:tcPr>
          <w:p w14:paraId="6148D65F" w14:textId="77777777" w:rsidR="00867B15" w:rsidRPr="009D7A51" w:rsidRDefault="00867B15" w:rsidP="00635781">
            <w:pPr>
              <w:pStyle w:val="cTableText"/>
            </w:pPr>
            <w:r w:rsidRPr="009D7A51">
              <w:t>Men's</w:t>
            </w:r>
          </w:p>
        </w:tc>
        <w:tc>
          <w:tcPr>
            <w:tcW w:w="1425" w:type="dxa"/>
            <w:shd w:val="clear" w:color="auto" w:fill="auto"/>
            <w:noWrap/>
          </w:tcPr>
          <w:p w14:paraId="4254E6EF" w14:textId="77777777" w:rsidR="00867B15" w:rsidRPr="009D7A51" w:rsidRDefault="00867B15" w:rsidP="00635781">
            <w:pPr>
              <w:pStyle w:val="cTableText"/>
            </w:pPr>
            <w:r w:rsidRPr="009D7A51">
              <w:t>49 and 51</w:t>
            </w:r>
          </w:p>
        </w:tc>
        <w:tc>
          <w:tcPr>
            <w:tcW w:w="3693" w:type="dxa"/>
            <w:shd w:val="clear" w:color="auto" w:fill="auto"/>
            <w:noWrap/>
          </w:tcPr>
          <w:p w14:paraId="4E2C324B" w14:textId="77777777" w:rsidR="00867B15" w:rsidRPr="009D7A51" w:rsidRDefault="00867B15" w:rsidP="00635781">
            <w:pPr>
              <w:pStyle w:val="cTableText"/>
            </w:pPr>
            <w:r w:rsidRPr="009D7A51">
              <w:t>C1 Brown, and C2 Dark Gray</w:t>
            </w:r>
          </w:p>
        </w:tc>
      </w:tr>
      <w:tr w:rsidR="00867B15" w:rsidRPr="009D7A51" w14:paraId="6865B2AB" w14:textId="77777777" w:rsidTr="00635781">
        <w:trPr>
          <w:cantSplit/>
          <w:trHeight w:val="300"/>
        </w:trPr>
        <w:tc>
          <w:tcPr>
            <w:tcW w:w="1093" w:type="dxa"/>
            <w:vMerge/>
          </w:tcPr>
          <w:p w14:paraId="57D763A5" w14:textId="77777777" w:rsidR="00867B15" w:rsidRPr="009D7A51" w:rsidRDefault="00867B15" w:rsidP="00635781">
            <w:pPr>
              <w:pStyle w:val="cTableText"/>
            </w:pPr>
          </w:p>
        </w:tc>
        <w:tc>
          <w:tcPr>
            <w:tcW w:w="1471" w:type="dxa"/>
            <w:shd w:val="clear" w:color="auto" w:fill="auto"/>
            <w:noWrap/>
          </w:tcPr>
          <w:p w14:paraId="7D1685AF" w14:textId="77777777" w:rsidR="00867B15" w:rsidRPr="009D7A51" w:rsidRDefault="00867B15" w:rsidP="00635781">
            <w:pPr>
              <w:pStyle w:val="cTableText"/>
            </w:pPr>
            <w:r w:rsidRPr="009D7A51">
              <w:t>Stella</w:t>
            </w:r>
          </w:p>
        </w:tc>
        <w:tc>
          <w:tcPr>
            <w:tcW w:w="1217" w:type="dxa"/>
            <w:shd w:val="clear" w:color="auto" w:fill="auto"/>
            <w:noWrap/>
          </w:tcPr>
          <w:p w14:paraId="6413751F" w14:textId="77777777" w:rsidR="00867B15" w:rsidRPr="009D7A51" w:rsidRDefault="00867B15" w:rsidP="00635781">
            <w:pPr>
              <w:pStyle w:val="cTableText"/>
            </w:pPr>
            <w:r w:rsidRPr="009D7A51">
              <w:t>Women's</w:t>
            </w:r>
          </w:p>
        </w:tc>
        <w:tc>
          <w:tcPr>
            <w:tcW w:w="1425" w:type="dxa"/>
            <w:shd w:val="clear" w:color="auto" w:fill="auto"/>
            <w:noWrap/>
          </w:tcPr>
          <w:p w14:paraId="59810B7D" w14:textId="77777777" w:rsidR="00867B15" w:rsidRPr="009D7A51" w:rsidRDefault="00867B15" w:rsidP="00635781">
            <w:pPr>
              <w:pStyle w:val="cTableText"/>
            </w:pPr>
            <w:r w:rsidRPr="009D7A51">
              <w:t>51</w:t>
            </w:r>
          </w:p>
        </w:tc>
        <w:tc>
          <w:tcPr>
            <w:tcW w:w="3693" w:type="dxa"/>
            <w:shd w:val="clear" w:color="auto" w:fill="auto"/>
            <w:noWrap/>
          </w:tcPr>
          <w:p w14:paraId="46A2A376" w14:textId="77777777" w:rsidR="00867B15" w:rsidRPr="009D7A51" w:rsidRDefault="00867B15" w:rsidP="00635781">
            <w:pPr>
              <w:pStyle w:val="cTableText"/>
            </w:pPr>
            <w:r w:rsidRPr="009D7A51">
              <w:t>C1 Light Brown C2 Lilac and C3 Matte Silver</w:t>
            </w:r>
          </w:p>
        </w:tc>
      </w:tr>
      <w:tr w:rsidR="00867B15" w:rsidRPr="009D7A51" w14:paraId="3674360C" w14:textId="77777777" w:rsidTr="00635781">
        <w:trPr>
          <w:cantSplit/>
          <w:trHeight w:val="300"/>
        </w:trPr>
        <w:tc>
          <w:tcPr>
            <w:tcW w:w="1093" w:type="dxa"/>
            <w:vMerge/>
          </w:tcPr>
          <w:p w14:paraId="20842AEE" w14:textId="77777777" w:rsidR="00867B15" w:rsidRPr="009D7A51" w:rsidRDefault="00867B15" w:rsidP="00635781">
            <w:pPr>
              <w:pStyle w:val="cTableText"/>
            </w:pPr>
          </w:p>
        </w:tc>
        <w:tc>
          <w:tcPr>
            <w:tcW w:w="1471" w:type="dxa"/>
            <w:shd w:val="clear" w:color="auto" w:fill="auto"/>
            <w:noWrap/>
          </w:tcPr>
          <w:p w14:paraId="096FBA04" w14:textId="77777777" w:rsidR="00867B15" w:rsidRPr="009D7A51" w:rsidRDefault="00867B15" w:rsidP="00635781">
            <w:pPr>
              <w:pStyle w:val="cTableText"/>
            </w:pPr>
            <w:r w:rsidRPr="009D7A51">
              <w:t>Candy</w:t>
            </w:r>
          </w:p>
        </w:tc>
        <w:tc>
          <w:tcPr>
            <w:tcW w:w="1217" w:type="dxa"/>
            <w:shd w:val="clear" w:color="auto" w:fill="auto"/>
            <w:noWrap/>
          </w:tcPr>
          <w:p w14:paraId="1E3FDEDB" w14:textId="77777777" w:rsidR="00867B15" w:rsidRPr="009D7A51" w:rsidRDefault="00867B15" w:rsidP="00635781">
            <w:pPr>
              <w:pStyle w:val="cTableText"/>
            </w:pPr>
            <w:r w:rsidRPr="009D7A51">
              <w:t>Unisex</w:t>
            </w:r>
          </w:p>
        </w:tc>
        <w:tc>
          <w:tcPr>
            <w:tcW w:w="1425" w:type="dxa"/>
            <w:shd w:val="clear" w:color="auto" w:fill="auto"/>
            <w:noWrap/>
          </w:tcPr>
          <w:p w14:paraId="13554244" w14:textId="77777777" w:rsidR="00867B15" w:rsidRPr="009D7A51" w:rsidRDefault="00867B15" w:rsidP="00635781">
            <w:pPr>
              <w:pStyle w:val="cTableText"/>
            </w:pPr>
            <w:r w:rsidRPr="009D7A51">
              <w:t>45</w:t>
            </w:r>
          </w:p>
        </w:tc>
        <w:tc>
          <w:tcPr>
            <w:tcW w:w="3693" w:type="dxa"/>
            <w:shd w:val="clear" w:color="auto" w:fill="auto"/>
            <w:noWrap/>
          </w:tcPr>
          <w:p w14:paraId="48DBE1DA" w14:textId="77777777" w:rsidR="00867B15" w:rsidRPr="009D7A51" w:rsidRDefault="00867B15" w:rsidP="00635781">
            <w:pPr>
              <w:pStyle w:val="cTableText"/>
            </w:pPr>
            <w:r w:rsidRPr="009D7A51">
              <w:t>C1 Shiny Brown and C2 Matte Black</w:t>
            </w:r>
          </w:p>
        </w:tc>
      </w:tr>
      <w:tr w:rsidR="00867B15" w:rsidRPr="009D7A51" w14:paraId="0089B26A" w14:textId="77777777" w:rsidTr="00635781">
        <w:trPr>
          <w:cantSplit/>
          <w:trHeight w:val="300"/>
        </w:trPr>
        <w:tc>
          <w:tcPr>
            <w:tcW w:w="1093" w:type="dxa"/>
            <w:vMerge w:val="restart"/>
          </w:tcPr>
          <w:p w14:paraId="234A39A3" w14:textId="77777777" w:rsidR="00867B15" w:rsidRPr="009D7A51" w:rsidRDefault="00867B15" w:rsidP="00635781">
            <w:pPr>
              <w:pStyle w:val="cTableText"/>
            </w:pPr>
            <w:r w:rsidRPr="009D7A51">
              <w:t>Modern</w:t>
            </w:r>
          </w:p>
        </w:tc>
        <w:tc>
          <w:tcPr>
            <w:tcW w:w="1471" w:type="dxa"/>
            <w:shd w:val="clear" w:color="auto" w:fill="auto"/>
            <w:noWrap/>
          </w:tcPr>
          <w:p w14:paraId="7191DC6E" w14:textId="77777777" w:rsidR="00867B15" w:rsidRPr="009D7A51" w:rsidRDefault="00867B15" w:rsidP="00635781">
            <w:pPr>
              <w:pStyle w:val="cTableText"/>
            </w:pPr>
            <w:r w:rsidRPr="009D7A51">
              <w:t>Sporty</w:t>
            </w:r>
          </w:p>
        </w:tc>
        <w:tc>
          <w:tcPr>
            <w:tcW w:w="1217" w:type="dxa"/>
            <w:shd w:val="clear" w:color="auto" w:fill="auto"/>
            <w:noWrap/>
          </w:tcPr>
          <w:p w14:paraId="03C26D56" w14:textId="77777777" w:rsidR="00867B15" w:rsidRPr="009D7A51" w:rsidRDefault="00867B15" w:rsidP="00635781">
            <w:pPr>
              <w:pStyle w:val="cTableText"/>
            </w:pPr>
            <w:r w:rsidRPr="009D7A51">
              <w:t>Kids</w:t>
            </w:r>
          </w:p>
        </w:tc>
        <w:tc>
          <w:tcPr>
            <w:tcW w:w="1425" w:type="dxa"/>
            <w:shd w:val="clear" w:color="auto" w:fill="auto"/>
            <w:noWrap/>
          </w:tcPr>
          <w:p w14:paraId="54E93C01" w14:textId="77777777" w:rsidR="00867B15" w:rsidRPr="009D7A51" w:rsidRDefault="00867B15" w:rsidP="00635781">
            <w:pPr>
              <w:pStyle w:val="cTableText"/>
            </w:pPr>
            <w:r w:rsidRPr="009D7A51">
              <w:t>44 and 46</w:t>
            </w:r>
          </w:p>
        </w:tc>
        <w:tc>
          <w:tcPr>
            <w:tcW w:w="3693" w:type="dxa"/>
            <w:shd w:val="clear" w:color="auto" w:fill="auto"/>
            <w:noWrap/>
          </w:tcPr>
          <w:p w14:paraId="12AFE24F" w14:textId="77777777" w:rsidR="00867B15" w:rsidRPr="009D7A51" w:rsidRDefault="00867B15" w:rsidP="00635781">
            <w:pPr>
              <w:pStyle w:val="cTableText"/>
            </w:pPr>
            <w:r w:rsidRPr="009D7A51">
              <w:t>Black/Crystal, Blue and Brown</w:t>
            </w:r>
          </w:p>
        </w:tc>
      </w:tr>
      <w:tr w:rsidR="00867B15" w:rsidRPr="009D7A51" w14:paraId="080C2D04" w14:textId="77777777" w:rsidTr="00635781">
        <w:trPr>
          <w:cantSplit/>
          <w:trHeight w:val="300"/>
        </w:trPr>
        <w:tc>
          <w:tcPr>
            <w:tcW w:w="1093" w:type="dxa"/>
            <w:vMerge/>
          </w:tcPr>
          <w:p w14:paraId="3D8E4B73" w14:textId="77777777" w:rsidR="00867B15" w:rsidRPr="009D7A51" w:rsidRDefault="00867B15" w:rsidP="00635781">
            <w:pPr>
              <w:pStyle w:val="cTableText"/>
            </w:pPr>
          </w:p>
        </w:tc>
        <w:tc>
          <w:tcPr>
            <w:tcW w:w="1471" w:type="dxa"/>
            <w:shd w:val="clear" w:color="auto" w:fill="auto"/>
            <w:noWrap/>
          </w:tcPr>
          <w:p w14:paraId="16F14470" w14:textId="77777777" w:rsidR="00867B15" w:rsidRPr="009D7A51" w:rsidRDefault="00867B15" w:rsidP="00635781">
            <w:pPr>
              <w:pStyle w:val="cTableText"/>
            </w:pPr>
            <w:r w:rsidRPr="009D7A51">
              <w:t>Gift</w:t>
            </w:r>
          </w:p>
        </w:tc>
        <w:tc>
          <w:tcPr>
            <w:tcW w:w="1217" w:type="dxa"/>
            <w:shd w:val="clear" w:color="auto" w:fill="auto"/>
            <w:noWrap/>
          </w:tcPr>
          <w:p w14:paraId="40DB2A78" w14:textId="77777777" w:rsidR="00867B15" w:rsidRPr="009D7A51" w:rsidRDefault="00867B15" w:rsidP="00635781">
            <w:pPr>
              <w:pStyle w:val="cTableText"/>
            </w:pPr>
            <w:r w:rsidRPr="009D7A51">
              <w:t>Women's</w:t>
            </w:r>
          </w:p>
        </w:tc>
        <w:tc>
          <w:tcPr>
            <w:tcW w:w="1425" w:type="dxa"/>
            <w:shd w:val="clear" w:color="auto" w:fill="auto"/>
            <w:noWrap/>
          </w:tcPr>
          <w:p w14:paraId="32F916C2" w14:textId="77777777" w:rsidR="00867B15" w:rsidRPr="009D7A51" w:rsidRDefault="00867B15" w:rsidP="00635781">
            <w:pPr>
              <w:pStyle w:val="cTableText"/>
            </w:pPr>
            <w:r w:rsidRPr="009D7A51">
              <w:t>47 and 49</w:t>
            </w:r>
          </w:p>
        </w:tc>
        <w:tc>
          <w:tcPr>
            <w:tcW w:w="3693" w:type="dxa"/>
            <w:shd w:val="clear" w:color="auto" w:fill="auto"/>
            <w:noWrap/>
          </w:tcPr>
          <w:p w14:paraId="18EAF02A" w14:textId="77777777" w:rsidR="00867B15" w:rsidRPr="009D7A51" w:rsidRDefault="00867B15" w:rsidP="00635781">
            <w:pPr>
              <w:pStyle w:val="cTableText"/>
            </w:pPr>
            <w:r w:rsidRPr="009D7A51">
              <w:t>Black/Crystal, Brown/</w:t>
            </w:r>
            <w:proofErr w:type="gramStart"/>
            <w:r w:rsidRPr="009D7A51">
              <w:t>Crystal</w:t>
            </w:r>
            <w:proofErr w:type="gramEnd"/>
            <w:r w:rsidRPr="009D7A51">
              <w:t xml:space="preserve"> and Purple/Brown</w:t>
            </w:r>
          </w:p>
        </w:tc>
      </w:tr>
      <w:tr w:rsidR="00867B15" w:rsidRPr="009D7A51" w14:paraId="63CB150D" w14:textId="77777777" w:rsidTr="00635781">
        <w:trPr>
          <w:cantSplit/>
          <w:trHeight w:val="300"/>
        </w:trPr>
        <w:tc>
          <w:tcPr>
            <w:tcW w:w="1093" w:type="dxa"/>
            <w:vMerge/>
          </w:tcPr>
          <w:p w14:paraId="562796F1" w14:textId="77777777" w:rsidR="00867B15" w:rsidRPr="009D7A51" w:rsidRDefault="00867B15" w:rsidP="00635781">
            <w:pPr>
              <w:pStyle w:val="cTableText"/>
            </w:pPr>
          </w:p>
        </w:tc>
        <w:tc>
          <w:tcPr>
            <w:tcW w:w="1471" w:type="dxa"/>
            <w:shd w:val="clear" w:color="auto" w:fill="auto"/>
            <w:noWrap/>
          </w:tcPr>
          <w:p w14:paraId="47D686FF" w14:textId="77777777" w:rsidR="00867B15" w:rsidRPr="009D7A51" w:rsidRDefault="00867B15" w:rsidP="00635781">
            <w:pPr>
              <w:pStyle w:val="cTableText"/>
            </w:pPr>
            <w:r w:rsidRPr="009D7A51">
              <w:t>Dazzle</w:t>
            </w:r>
          </w:p>
        </w:tc>
        <w:tc>
          <w:tcPr>
            <w:tcW w:w="1217" w:type="dxa"/>
            <w:shd w:val="clear" w:color="auto" w:fill="auto"/>
            <w:noWrap/>
          </w:tcPr>
          <w:p w14:paraId="0C05D09D" w14:textId="77777777" w:rsidR="00867B15" w:rsidRPr="009D7A51" w:rsidRDefault="00867B15" w:rsidP="00635781">
            <w:pPr>
              <w:pStyle w:val="cTableText"/>
            </w:pPr>
            <w:r w:rsidRPr="009D7A51">
              <w:t>Women's</w:t>
            </w:r>
          </w:p>
        </w:tc>
        <w:tc>
          <w:tcPr>
            <w:tcW w:w="1425" w:type="dxa"/>
            <w:shd w:val="clear" w:color="auto" w:fill="auto"/>
            <w:noWrap/>
          </w:tcPr>
          <w:p w14:paraId="5620C0B2" w14:textId="77777777" w:rsidR="00867B15" w:rsidRPr="009D7A51" w:rsidRDefault="00867B15" w:rsidP="00635781">
            <w:pPr>
              <w:pStyle w:val="cTableText"/>
            </w:pPr>
            <w:r w:rsidRPr="009D7A51">
              <w:t>49, 51 and 53</w:t>
            </w:r>
          </w:p>
        </w:tc>
        <w:tc>
          <w:tcPr>
            <w:tcW w:w="3693" w:type="dxa"/>
            <w:shd w:val="clear" w:color="auto" w:fill="auto"/>
            <w:noWrap/>
          </w:tcPr>
          <w:p w14:paraId="418D4634" w14:textId="77777777" w:rsidR="00867B15" w:rsidRPr="009D7A51" w:rsidRDefault="00867B15" w:rsidP="00635781">
            <w:pPr>
              <w:pStyle w:val="cTableText"/>
            </w:pPr>
            <w:r w:rsidRPr="009D7A51">
              <w:t xml:space="preserve">Brown, Gold </w:t>
            </w:r>
            <w:proofErr w:type="gramStart"/>
            <w:r w:rsidRPr="009D7A51">
              <w:t>And</w:t>
            </w:r>
            <w:proofErr w:type="gramEnd"/>
            <w:r w:rsidRPr="009D7A51">
              <w:t xml:space="preserve"> Rose</w:t>
            </w:r>
          </w:p>
        </w:tc>
      </w:tr>
      <w:tr w:rsidR="00867B15" w:rsidRPr="009D7A51" w14:paraId="2FC28F8D" w14:textId="77777777" w:rsidTr="00635781">
        <w:trPr>
          <w:cantSplit/>
          <w:trHeight w:val="300"/>
        </w:trPr>
        <w:tc>
          <w:tcPr>
            <w:tcW w:w="1093" w:type="dxa"/>
            <w:vMerge/>
          </w:tcPr>
          <w:p w14:paraId="00F37D9A" w14:textId="77777777" w:rsidR="00867B15" w:rsidRPr="009D7A51" w:rsidRDefault="00867B15" w:rsidP="00635781">
            <w:pPr>
              <w:pStyle w:val="cTableText"/>
            </w:pPr>
          </w:p>
        </w:tc>
        <w:tc>
          <w:tcPr>
            <w:tcW w:w="1471" w:type="dxa"/>
            <w:shd w:val="clear" w:color="auto" w:fill="auto"/>
            <w:noWrap/>
          </w:tcPr>
          <w:p w14:paraId="18262350" w14:textId="77777777" w:rsidR="00867B15" w:rsidRPr="009D7A51" w:rsidRDefault="00867B15" w:rsidP="00635781">
            <w:pPr>
              <w:pStyle w:val="cTableText"/>
            </w:pPr>
            <w:r w:rsidRPr="009D7A51">
              <w:t>Judi</w:t>
            </w:r>
          </w:p>
        </w:tc>
        <w:tc>
          <w:tcPr>
            <w:tcW w:w="1217" w:type="dxa"/>
            <w:shd w:val="clear" w:color="auto" w:fill="auto"/>
            <w:noWrap/>
          </w:tcPr>
          <w:p w14:paraId="0A25678B" w14:textId="77777777" w:rsidR="00867B15" w:rsidRPr="009D7A51" w:rsidRDefault="00867B15" w:rsidP="00635781">
            <w:pPr>
              <w:pStyle w:val="cTableText"/>
            </w:pPr>
            <w:r w:rsidRPr="009D7A51">
              <w:t>Women's</w:t>
            </w:r>
          </w:p>
        </w:tc>
        <w:tc>
          <w:tcPr>
            <w:tcW w:w="1425" w:type="dxa"/>
            <w:shd w:val="clear" w:color="auto" w:fill="auto"/>
            <w:noWrap/>
          </w:tcPr>
          <w:p w14:paraId="5801F64E" w14:textId="77777777" w:rsidR="00867B15" w:rsidRPr="009D7A51" w:rsidRDefault="00867B15" w:rsidP="00635781">
            <w:pPr>
              <w:pStyle w:val="cTableText"/>
            </w:pPr>
            <w:r w:rsidRPr="009D7A51">
              <w:t>50 and 53</w:t>
            </w:r>
          </w:p>
        </w:tc>
        <w:tc>
          <w:tcPr>
            <w:tcW w:w="3693" w:type="dxa"/>
            <w:shd w:val="clear" w:color="auto" w:fill="auto"/>
            <w:noWrap/>
          </w:tcPr>
          <w:p w14:paraId="5E52F65F" w14:textId="77777777" w:rsidR="00867B15" w:rsidRPr="009D7A51" w:rsidRDefault="00867B15" w:rsidP="00635781">
            <w:pPr>
              <w:pStyle w:val="cTableText"/>
            </w:pPr>
            <w:r w:rsidRPr="009D7A51">
              <w:t>Black/Crystal, Tortoise and Wine/Gray</w:t>
            </w:r>
          </w:p>
        </w:tc>
      </w:tr>
      <w:tr w:rsidR="00867B15" w:rsidRPr="009D7A51" w14:paraId="058DBCD9" w14:textId="77777777" w:rsidTr="00635781">
        <w:trPr>
          <w:cantSplit/>
          <w:trHeight w:val="300"/>
        </w:trPr>
        <w:tc>
          <w:tcPr>
            <w:tcW w:w="1093" w:type="dxa"/>
            <w:vMerge/>
          </w:tcPr>
          <w:p w14:paraId="5609E36C" w14:textId="77777777" w:rsidR="00867B15" w:rsidRPr="009D7A51" w:rsidRDefault="00867B15" w:rsidP="00635781">
            <w:pPr>
              <w:pStyle w:val="cTableText"/>
            </w:pPr>
          </w:p>
        </w:tc>
        <w:tc>
          <w:tcPr>
            <w:tcW w:w="1471" w:type="dxa"/>
            <w:shd w:val="clear" w:color="auto" w:fill="auto"/>
            <w:noWrap/>
          </w:tcPr>
          <w:p w14:paraId="54667FD9" w14:textId="77777777" w:rsidR="00867B15" w:rsidRPr="009D7A51" w:rsidRDefault="00867B15" w:rsidP="00635781">
            <w:pPr>
              <w:pStyle w:val="cTableText"/>
            </w:pPr>
            <w:r w:rsidRPr="009D7A51">
              <w:t>Dynamite</w:t>
            </w:r>
          </w:p>
        </w:tc>
        <w:tc>
          <w:tcPr>
            <w:tcW w:w="1217" w:type="dxa"/>
            <w:shd w:val="clear" w:color="auto" w:fill="auto"/>
            <w:noWrap/>
          </w:tcPr>
          <w:p w14:paraId="7B438AF5" w14:textId="77777777" w:rsidR="00867B15" w:rsidRPr="009D7A51" w:rsidRDefault="00867B15" w:rsidP="00635781">
            <w:pPr>
              <w:pStyle w:val="cTableText"/>
            </w:pPr>
            <w:r w:rsidRPr="009D7A51">
              <w:t>Girl's</w:t>
            </w:r>
          </w:p>
        </w:tc>
        <w:tc>
          <w:tcPr>
            <w:tcW w:w="1425" w:type="dxa"/>
            <w:shd w:val="clear" w:color="auto" w:fill="auto"/>
            <w:noWrap/>
          </w:tcPr>
          <w:p w14:paraId="6936E51E" w14:textId="77777777" w:rsidR="00867B15" w:rsidRPr="009D7A51" w:rsidRDefault="00867B15" w:rsidP="00635781">
            <w:pPr>
              <w:pStyle w:val="cTableText"/>
            </w:pPr>
            <w:r w:rsidRPr="009D7A51">
              <w:t xml:space="preserve">42, 45 </w:t>
            </w:r>
            <w:proofErr w:type="gramStart"/>
            <w:r w:rsidRPr="009D7A51">
              <w:t>and  47</w:t>
            </w:r>
            <w:proofErr w:type="gramEnd"/>
          </w:p>
        </w:tc>
        <w:tc>
          <w:tcPr>
            <w:tcW w:w="3693" w:type="dxa"/>
            <w:shd w:val="clear" w:color="auto" w:fill="auto"/>
            <w:noWrap/>
          </w:tcPr>
          <w:p w14:paraId="7A00A382" w14:textId="77777777" w:rsidR="00867B15" w:rsidRPr="009D7A51" w:rsidRDefault="00867B15" w:rsidP="00635781">
            <w:pPr>
              <w:pStyle w:val="cTableText"/>
            </w:pPr>
            <w:r w:rsidRPr="009D7A51">
              <w:t>Antique Brown and Black Silver</w:t>
            </w:r>
          </w:p>
        </w:tc>
      </w:tr>
      <w:tr w:rsidR="00867B15" w:rsidRPr="009D7A51" w14:paraId="06201A2A" w14:textId="77777777" w:rsidTr="00635781">
        <w:trPr>
          <w:cantSplit/>
          <w:trHeight w:val="300"/>
        </w:trPr>
        <w:tc>
          <w:tcPr>
            <w:tcW w:w="1093" w:type="dxa"/>
            <w:vMerge/>
          </w:tcPr>
          <w:p w14:paraId="299285CF" w14:textId="77777777" w:rsidR="00867B15" w:rsidRPr="009D7A51" w:rsidRDefault="00867B15" w:rsidP="00635781">
            <w:pPr>
              <w:pStyle w:val="cTableText"/>
            </w:pPr>
          </w:p>
        </w:tc>
        <w:tc>
          <w:tcPr>
            <w:tcW w:w="1471" w:type="dxa"/>
            <w:shd w:val="clear" w:color="auto" w:fill="auto"/>
            <w:noWrap/>
          </w:tcPr>
          <w:p w14:paraId="752419C8" w14:textId="77777777" w:rsidR="00867B15" w:rsidRPr="009D7A51" w:rsidRDefault="00867B15" w:rsidP="00635781">
            <w:pPr>
              <w:pStyle w:val="cTableText"/>
            </w:pPr>
            <w:r w:rsidRPr="009D7A51">
              <w:t>Ralph</w:t>
            </w:r>
          </w:p>
        </w:tc>
        <w:tc>
          <w:tcPr>
            <w:tcW w:w="1217" w:type="dxa"/>
            <w:shd w:val="clear" w:color="auto" w:fill="auto"/>
            <w:noWrap/>
          </w:tcPr>
          <w:p w14:paraId="04FE07B8" w14:textId="77777777" w:rsidR="00867B15" w:rsidRPr="009D7A51" w:rsidRDefault="00867B15" w:rsidP="00635781">
            <w:pPr>
              <w:pStyle w:val="cTableText"/>
            </w:pPr>
            <w:r w:rsidRPr="009D7A51">
              <w:t>Men’s</w:t>
            </w:r>
          </w:p>
        </w:tc>
        <w:tc>
          <w:tcPr>
            <w:tcW w:w="1425" w:type="dxa"/>
            <w:shd w:val="clear" w:color="auto" w:fill="auto"/>
            <w:noWrap/>
          </w:tcPr>
          <w:p w14:paraId="207ACD47" w14:textId="77777777" w:rsidR="00867B15" w:rsidRPr="009D7A51" w:rsidRDefault="00867B15" w:rsidP="00635781">
            <w:pPr>
              <w:pStyle w:val="cTableText"/>
            </w:pPr>
            <w:r w:rsidRPr="009D7A51">
              <w:t>52, 54 and 56</w:t>
            </w:r>
          </w:p>
        </w:tc>
        <w:tc>
          <w:tcPr>
            <w:tcW w:w="3693" w:type="dxa"/>
            <w:shd w:val="clear" w:color="auto" w:fill="auto"/>
            <w:noWrap/>
          </w:tcPr>
          <w:p w14:paraId="2221CF72" w14:textId="77777777" w:rsidR="00867B15" w:rsidRPr="009D7A51" w:rsidRDefault="00867B15" w:rsidP="00635781">
            <w:pPr>
              <w:pStyle w:val="cTableText"/>
            </w:pPr>
            <w:r w:rsidRPr="009D7A51">
              <w:t>Black, Brown and Gray</w:t>
            </w:r>
          </w:p>
        </w:tc>
      </w:tr>
      <w:tr w:rsidR="00867B15" w:rsidRPr="009D7A51" w14:paraId="0BD1FFC9" w14:textId="77777777" w:rsidTr="00635781">
        <w:trPr>
          <w:cantSplit/>
          <w:trHeight w:val="300"/>
        </w:trPr>
        <w:tc>
          <w:tcPr>
            <w:tcW w:w="1093" w:type="dxa"/>
            <w:vMerge/>
          </w:tcPr>
          <w:p w14:paraId="18987741" w14:textId="77777777" w:rsidR="00867B15" w:rsidRPr="009D7A51" w:rsidRDefault="00867B15" w:rsidP="00635781">
            <w:pPr>
              <w:pStyle w:val="cTableText"/>
            </w:pPr>
          </w:p>
        </w:tc>
        <w:tc>
          <w:tcPr>
            <w:tcW w:w="1471" w:type="dxa"/>
            <w:shd w:val="clear" w:color="auto" w:fill="auto"/>
            <w:noWrap/>
          </w:tcPr>
          <w:p w14:paraId="2C23C2B8" w14:textId="77777777" w:rsidR="00867B15" w:rsidRPr="009D7A51" w:rsidRDefault="00867B15" w:rsidP="00635781">
            <w:pPr>
              <w:pStyle w:val="cTableText"/>
            </w:pPr>
            <w:r w:rsidRPr="009D7A51">
              <w:t>Ninja</w:t>
            </w:r>
          </w:p>
        </w:tc>
        <w:tc>
          <w:tcPr>
            <w:tcW w:w="1217" w:type="dxa"/>
            <w:shd w:val="clear" w:color="auto" w:fill="auto"/>
            <w:noWrap/>
          </w:tcPr>
          <w:p w14:paraId="72F1D8F8" w14:textId="77777777" w:rsidR="00867B15" w:rsidRPr="009D7A51" w:rsidRDefault="00867B15" w:rsidP="00635781">
            <w:pPr>
              <w:pStyle w:val="cTableText"/>
            </w:pPr>
            <w:r w:rsidRPr="009D7A51">
              <w:t>Unisex</w:t>
            </w:r>
          </w:p>
        </w:tc>
        <w:tc>
          <w:tcPr>
            <w:tcW w:w="1425" w:type="dxa"/>
            <w:shd w:val="clear" w:color="auto" w:fill="auto"/>
            <w:noWrap/>
          </w:tcPr>
          <w:p w14:paraId="431D90EA" w14:textId="77777777" w:rsidR="00867B15" w:rsidRPr="009D7A51" w:rsidRDefault="00867B15" w:rsidP="00635781">
            <w:pPr>
              <w:pStyle w:val="cTableText"/>
            </w:pPr>
            <w:r w:rsidRPr="009D7A51">
              <w:t>44 and 46</w:t>
            </w:r>
          </w:p>
        </w:tc>
        <w:tc>
          <w:tcPr>
            <w:tcW w:w="3693" w:type="dxa"/>
            <w:shd w:val="clear" w:color="auto" w:fill="auto"/>
            <w:noWrap/>
          </w:tcPr>
          <w:p w14:paraId="604D2D5C" w14:textId="77777777" w:rsidR="00867B15" w:rsidRPr="009D7A51" w:rsidRDefault="00867B15" w:rsidP="00635781">
            <w:pPr>
              <w:pStyle w:val="cTableText"/>
            </w:pPr>
            <w:r w:rsidRPr="009D7A51">
              <w:t xml:space="preserve">Blue, </w:t>
            </w:r>
            <w:proofErr w:type="gramStart"/>
            <w:r w:rsidRPr="009D7A51">
              <w:t>Brown</w:t>
            </w:r>
            <w:proofErr w:type="gramEnd"/>
            <w:r w:rsidRPr="009D7A51">
              <w:t xml:space="preserve"> and Lilac</w:t>
            </w:r>
          </w:p>
        </w:tc>
      </w:tr>
      <w:tr w:rsidR="00867B15" w:rsidRPr="009D7A51" w14:paraId="7BE9621F" w14:textId="77777777" w:rsidTr="00635781">
        <w:trPr>
          <w:cantSplit/>
          <w:trHeight w:val="300"/>
        </w:trPr>
        <w:tc>
          <w:tcPr>
            <w:tcW w:w="1093" w:type="dxa"/>
            <w:vMerge w:val="restart"/>
          </w:tcPr>
          <w:p w14:paraId="124E81F0" w14:textId="77777777" w:rsidR="00867B15" w:rsidRPr="009D7A51" w:rsidRDefault="00867B15" w:rsidP="00635781">
            <w:pPr>
              <w:pStyle w:val="cTableText"/>
            </w:pPr>
            <w:proofErr w:type="spellStart"/>
            <w:r w:rsidRPr="009D7A51">
              <w:t>Zimco</w:t>
            </w:r>
            <w:proofErr w:type="spellEnd"/>
          </w:p>
        </w:tc>
        <w:tc>
          <w:tcPr>
            <w:tcW w:w="1471" w:type="dxa"/>
            <w:shd w:val="clear" w:color="auto" w:fill="auto"/>
            <w:noWrap/>
          </w:tcPr>
          <w:p w14:paraId="68DB8557" w14:textId="77777777" w:rsidR="00867B15" w:rsidRPr="009D7A51" w:rsidRDefault="00867B15" w:rsidP="00635781">
            <w:pPr>
              <w:pStyle w:val="cTableText"/>
            </w:pPr>
            <w:r w:rsidRPr="009D7A51">
              <w:t>Attitudes #3</w:t>
            </w:r>
          </w:p>
        </w:tc>
        <w:tc>
          <w:tcPr>
            <w:tcW w:w="1217" w:type="dxa"/>
            <w:shd w:val="clear" w:color="auto" w:fill="auto"/>
            <w:noWrap/>
          </w:tcPr>
          <w:p w14:paraId="48973A70" w14:textId="77777777" w:rsidR="00867B15" w:rsidRPr="009D7A51" w:rsidRDefault="00867B15" w:rsidP="00635781">
            <w:pPr>
              <w:pStyle w:val="cTableText"/>
            </w:pPr>
            <w:r w:rsidRPr="009D7A51">
              <w:t>Women's</w:t>
            </w:r>
          </w:p>
        </w:tc>
        <w:tc>
          <w:tcPr>
            <w:tcW w:w="1425" w:type="dxa"/>
            <w:shd w:val="clear" w:color="auto" w:fill="auto"/>
            <w:noWrap/>
          </w:tcPr>
          <w:p w14:paraId="6CA9C0BD" w14:textId="77777777" w:rsidR="00867B15" w:rsidRPr="009D7A51" w:rsidRDefault="00867B15" w:rsidP="00635781">
            <w:pPr>
              <w:pStyle w:val="cTableText"/>
            </w:pPr>
            <w:r w:rsidRPr="009D7A51">
              <w:t>50</w:t>
            </w:r>
          </w:p>
        </w:tc>
        <w:tc>
          <w:tcPr>
            <w:tcW w:w="3693" w:type="dxa"/>
            <w:shd w:val="clear" w:color="auto" w:fill="auto"/>
            <w:noWrap/>
          </w:tcPr>
          <w:p w14:paraId="4753FBA2" w14:textId="77777777" w:rsidR="00867B15" w:rsidRPr="009D7A51" w:rsidRDefault="00867B15" w:rsidP="00635781">
            <w:pPr>
              <w:pStyle w:val="cTableText"/>
            </w:pPr>
            <w:r w:rsidRPr="009D7A51">
              <w:t>Brown/Crystal and Black</w:t>
            </w:r>
          </w:p>
        </w:tc>
      </w:tr>
      <w:tr w:rsidR="00867B15" w:rsidRPr="009D7A51" w14:paraId="0F414688" w14:textId="77777777" w:rsidTr="00635781">
        <w:trPr>
          <w:cantSplit/>
          <w:trHeight w:val="300"/>
        </w:trPr>
        <w:tc>
          <w:tcPr>
            <w:tcW w:w="1093" w:type="dxa"/>
            <w:vMerge/>
          </w:tcPr>
          <w:p w14:paraId="43662B29" w14:textId="77777777" w:rsidR="00867B15" w:rsidRPr="009D7A51" w:rsidRDefault="00867B15" w:rsidP="00635781">
            <w:pPr>
              <w:pStyle w:val="cTableText"/>
            </w:pPr>
          </w:p>
        </w:tc>
        <w:tc>
          <w:tcPr>
            <w:tcW w:w="1471" w:type="dxa"/>
            <w:shd w:val="clear" w:color="auto" w:fill="auto"/>
            <w:noWrap/>
          </w:tcPr>
          <w:p w14:paraId="41928CF3" w14:textId="77777777" w:rsidR="00867B15" w:rsidRPr="009D7A51" w:rsidRDefault="00867B15" w:rsidP="00635781">
            <w:pPr>
              <w:pStyle w:val="cTableText"/>
            </w:pPr>
            <w:r w:rsidRPr="009D7A51">
              <w:t>Retro#1</w:t>
            </w:r>
          </w:p>
        </w:tc>
        <w:tc>
          <w:tcPr>
            <w:tcW w:w="1217" w:type="dxa"/>
            <w:shd w:val="clear" w:color="auto" w:fill="auto"/>
            <w:noWrap/>
          </w:tcPr>
          <w:p w14:paraId="2E3623F0" w14:textId="77777777" w:rsidR="00867B15" w:rsidRPr="009D7A51" w:rsidRDefault="00867B15" w:rsidP="00635781">
            <w:pPr>
              <w:pStyle w:val="cTableText"/>
            </w:pPr>
            <w:r w:rsidRPr="009D7A51">
              <w:t>Women's</w:t>
            </w:r>
          </w:p>
        </w:tc>
        <w:tc>
          <w:tcPr>
            <w:tcW w:w="1425" w:type="dxa"/>
            <w:shd w:val="clear" w:color="auto" w:fill="auto"/>
            <w:noWrap/>
          </w:tcPr>
          <w:p w14:paraId="6E0D89F9" w14:textId="77777777" w:rsidR="00867B15" w:rsidRPr="009D7A51" w:rsidRDefault="00867B15" w:rsidP="00635781">
            <w:pPr>
              <w:pStyle w:val="cTableText"/>
            </w:pPr>
            <w:r w:rsidRPr="009D7A51">
              <w:t>48</w:t>
            </w:r>
          </w:p>
        </w:tc>
        <w:tc>
          <w:tcPr>
            <w:tcW w:w="3693" w:type="dxa"/>
            <w:shd w:val="clear" w:color="auto" w:fill="auto"/>
            <w:noWrap/>
          </w:tcPr>
          <w:p w14:paraId="187302DB" w14:textId="77777777" w:rsidR="00867B15" w:rsidRPr="009D7A51" w:rsidRDefault="00867B15" w:rsidP="00635781">
            <w:pPr>
              <w:pStyle w:val="cTableText"/>
            </w:pPr>
            <w:r w:rsidRPr="009D7A51">
              <w:t>Gold, Gunmetal Blue and Matte Brown</w:t>
            </w:r>
          </w:p>
        </w:tc>
      </w:tr>
      <w:tr w:rsidR="00867B15" w:rsidRPr="009D7A51" w14:paraId="2C318F92" w14:textId="77777777" w:rsidTr="00635781">
        <w:trPr>
          <w:cantSplit/>
          <w:trHeight w:val="300"/>
        </w:trPr>
        <w:tc>
          <w:tcPr>
            <w:tcW w:w="1093" w:type="dxa"/>
            <w:vMerge w:val="restart"/>
          </w:tcPr>
          <w:p w14:paraId="563B8102" w14:textId="77777777" w:rsidR="00867B15" w:rsidRPr="009D7A51" w:rsidRDefault="00867B15" w:rsidP="00635781">
            <w:pPr>
              <w:pStyle w:val="cTableText"/>
            </w:pPr>
            <w:r w:rsidRPr="009D7A51">
              <w:t>Hart</w:t>
            </w:r>
          </w:p>
        </w:tc>
        <w:tc>
          <w:tcPr>
            <w:tcW w:w="1471" w:type="dxa"/>
            <w:shd w:val="clear" w:color="auto" w:fill="auto"/>
            <w:noWrap/>
          </w:tcPr>
          <w:p w14:paraId="43D10D02" w14:textId="77777777" w:rsidR="00867B15" w:rsidRPr="009D7A51" w:rsidRDefault="00867B15" w:rsidP="00635781">
            <w:pPr>
              <w:pStyle w:val="cTableText"/>
            </w:pPr>
            <w:r w:rsidRPr="009D7A51">
              <w:t>Hart-9756</w:t>
            </w:r>
          </w:p>
        </w:tc>
        <w:tc>
          <w:tcPr>
            <w:tcW w:w="1217" w:type="dxa"/>
            <w:shd w:val="clear" w:color="auto" w:fill="auto"/>
            <w:noWrap/>
          </w:tcPr>
          <w:p w14:paraId="45ECD30D" w14:textId="77777777" w:rsidR="00867B15" w:rsidRPr="009D7A51" w:rsidRDefault="00867B15" w:rsidP="00635781">
            <w:pPr>
              <w:pStyle w:val="cTableText"/>
            </w:pPr>
            <w:r w:rsidRPr="009D7A51">
              <w:t>Women's</w:t>
            </w:r>
          </w:p>
        </w:tc>
        <w:tc>
          <w:tcPr>
            <w:tcW w:w="1425" w:type="dxa"/>
            <w:shd w:val="clear" w:color="auto" w:fill="auto"/>
            <w:noWrap/>
          </w:tcPr>
          <w:p w14:paraId="296984F2" w14:textId="77777777" w:rsidR="00867B15" w:rsidRPr="009D7A51" w:rsidRDefault="00867B15" w:rsidP="00635781">
            <w:pPr>
              <w:pStyle w:val="cTableText"/>
            </w:pPr>
            <w:r w:rsidRPr="009D7A51">
              <w:t>48</w:t>
            </w:r>
          </w:p>
        </w:tc>
        <w:tc>
          <w:tcPr>
            <w:tcW w:w="3693" w:type="dxa"/>
            <w:shd w:val="clear" w:color="auto" w:fill="auto"/>
            <w:noWrap/>
          </w:tcPr>
          <w:p w14:paraId="501E0EFB" w14:textId="77777777" w:rsidR="00867B15" w:rsidRPr="009D7A51" w:rsidRDefault="00867B15" w:rsidP="00635781">
            <w:pPr>
              <w:pStyle w:val="cTableText"/>
            </w:pPr>
            <w:r w:rsidRPr="009D7A51">
              <w:t xml:space="preserve">Brown, </w:t>
            </w:r>
            <w:proofErr w:type="gramStart"/>
            <w:r w:rsidRPr="009D7A51">
              <w:t>Gold</w:t>
            </w:r>
            <w:proofErr w:type="gramEnd"/>
            <w:r w:rsidRPr="009D7A51">
              <w:t xml:space="preserve"> and Gunmetal Silver</w:t>
            </w:r>
          </w:p>
        </w:tc>
      </w:tr>
      <w:tr w:rsidR="00867B15" w:rsidRPr="009D7A51" w14:paraId="241E3316" w14:textId="77777777" w:rsidTr="00635781">
        <w:trPr>
          <w:cantSplit/>
          <w:trHeight w:val="300"/>
        </w:trPr>
        <w:tc>
          <w:tcPr>
            <w:tcW w:w="1093" w:type="dxa"/>
            <w:vMerge/>
          </w:tcPr>
          <w:p w14:paraId="045DAC75" w14:textId="77777777" w:rsidR="00867B15" w:rsidRPr="009D7A51" w:rsidRDefault="00867B15" w:rsidP="00635781">
            <w:pPr>
              <w:pStyle w:val="cTableText"/>
            </w:pPr>
          </w:p>
        </w:tc>
        <w:tc>
          <w:tcPr>
            <w:tcW w:w="1471" w:type="dxa"/>
            <w:shd w:val="clear" w:color="auto" w:fill="auto"/>
            <w:noWrap/>
          </w:tcPr>
          <w:p w14:paraId="18ADC4DF" w14:textId="77777777" w:rsidR="00867B15" w:rsidRPr="009D7A51" w:rsidRDefault="00867B15" w:rsidP="00635781">
            <w:pPr>
              <w:pStyle w:val="cTableText"/>
            </w:pPr>
            <w:r w:rsidRPr="009D7A51">
              <w:t>3766</w:t>
            </w:r>
          </w:p>
        </w:tc>
        <w:tc>
          <w:tcPr>
            <w:tcW w:w="1217" w:type="dxa"/>
            <w:shd w:val="clear" w:color="auto" w:fill="auto"/>
            <w:noWrap/>
          </w:tcPr>
          <w:p w14:paraId="5D66539C" w14:textId="77777777" w:rsidR="00867B15" w:rsidRPr="009D7A51" w:rsidRDefault="00867B15" w:rsidP="00635781">
            <w:pPr>
              <w:pStyle w:val="cTableText"/>
            </w:pPr>
            <w:r w:rsidRPr="009D7A51">
              <w:t>Women’s</w:t>
            </w:r>
          </w:p>
        </w:tc>
        <w:tc>
          <w:tcPr>
            <w:tcW w:w="1425" w:type="dxa"/>
            <w:shd w:val="clear" w:color="auto" w:fill="auto"/>
            <w:noWrap/>
          </w:tcPr>
          <w:p w14:paraId="39A27525" w14:textId="77777777" w:rsidR="00867B15" w:rsidRPr="009D7A51" w:rsidRDefault="00867B15" w:rsidP="00635781">
            <w:pPr>
              <w:pStyle w:val="cTableText"/>
            </w:pPr>
            <w:r w:rsidRPr="009D7A51">
              <w:t>52</w:t>
            </w:r>
          </w:p>
        </w:tc>
        <w:tc>
          <w:tcPr>
            <w:tcW w:w="3693" w:type="dxa"/>
            <w:shd w:val="clear" w:color="auto" w:fill="auto"/>
            <w:noWrap/>
          </w:tcPr>
          <w:p w14:paraId="2874CE61" w14:textId="77777777" w:rsidR="00867B15" w:rsidRPr="009D7A51" w:rsidRDefault="00867B15" w:rsidP="00635781">
            <w:pPr>
              <w:pStyle w:val="cTableText"/>
            </w:pPr>
            <w:r w:rsidRPr="009D7A51">
              <w:t>Brown and Lilac</w:t>
            </w:r>
          </w:p>
        </w:tc>
      </w:tr>
      <w:tr w:rsidR="00867B15" w:rsidRPr="009D7A51" w14:paraId="620ECED7" w14:textId="77777777" w:rsidTr="00635781">
        <w:trPr>
          <w:cantSplit/>
          <w:trHeight w:val="300"/>
        </w:trPr>
        <w:tc>
          <w:tcPr>
            <w:tcW w:w="1093" w:type="dxa"/>
            <w:vMerge/>
          </w:tcPr>
          <w:p w14:paraId="359A9049" w14:textId="77777777" w:rsidR="00867B15" w:rsidRPr="009D7A51" w:rsidRDefault="00867B15" w:rsidP="00635781">
            <w:pPr>
              <w:pStyle w:val="cTableText"/>
            </w:pPr>
          </w:p>
        </w:tc>
        <w:tc>
          <w:tcPr>
            <w:tcW w:w="1471" w:type="dxa"/>
            <w:shd w:val="clear" w:color="auto" w:fill="auto"/>
            <w:noWrap/>
          </w:tcPr>
          <w:p w14:paraId="059E0A54" w14:textId="77777777" w:rsidR="00867B15" w:rsidRPr="009D7A51" w:rsidRDefault="00867B15" w:rsidP="00635781">
            <w:pPr>
              <w:pStyle w:val="cTableText"/>
            </w:pPr>
            <w:r w:rsidRPr="009D7A51">
              <w:t>Hart-8112</w:t>
            </w:r>
          </w:p>
        </w:tc>
        <w:tc>
          <w:tcPr>
            <w:tcW w:w="1217" w:type="dxa"/>
            <w:shd w:val="clear" w:color="auto" w:fill="auto"/>
            <w:noWrap/>
          </w:tcPr>
          <w:p w14:paraId="1AFEE8C6" w14:textId="77777777" w:rsidR="00867B15" w:rsidRPr="009D7A51" w:rsidRDefault="00867B15" w:rsidP="00635781">
            <w:pPr>
              <w:pStyle w:val="cTableText"/>
            </w:pPr>
            <w:r w:rsidRPr="009D7A51">
              <w:t>Unisex</w:t>
            </w:r>
          </w:p>
        </w:tc>
        <w:tc>
          <w:tcPr>
            <w:tcW w:w="1425" w:type="dxa"/>
            <w:shd w:val="clear" w:color="auto" w:fill="auto"/>
            <w:noWrap/>
          </w:tcPr>
          <w:p w14:paraId="4034A682" w14:textId="77777777" w:rsidR="00867B15" w:rsidRPr="009D7A51" w:rsidRDefault="00867B15" w:rsidP="00635781">
            <w:pPr>
              <w:pStyle w:val="cTableText"/>
            </w:pPr>
            <w:r w:rsidRPr="009D7A51">
              <w:t>48</w:t>
            </w:r>
          </w:p>
        </w:tc>
        <w:tc>
          <w:tcPr>
            <w:tcW w:w="3693" w:type="dxa"/>
            <w:shd w:val="clear" w:color="auto" w:fill="auto"/>
            <w:noWrap/>
          </w:tcPr>
          <w:p w14:paraId="3EE49401" w14:textId="77777777" w:rsidR="00867B15" w:rsidRPr="009D7A51" w:rsidRDefault="00867B15" w:rsidP="00635781">
            <w:pPr>
              <w:pStyle w:val="cTableText"/>
            </w:pPr>
            <w:r w:rsidRPr="009D7A51">
              <w:t xml:space="preserve">Matte Black, Matte </w:t>
            </w:r>
            <w:proofErr w:type="gramStart"/>
            <w:smartTag w:uri="urn:schemas-microsoft-com:office:smarttags" w:element="State">
              <w:smartTag w:uri="urn:schemas-microsoft-com:office:smarttags" w:element="Street">
                <w:r w:rsidRPr="009D7A51">
                  <w:t>Burgundy</w:t>
                </w:r>
              </w:smartTag>
            </w:smartTag>
            <w:proofErr w:type="gramEnd"/>
            <w:r w:rsidRPr="009D7A51">
              <w:t xml:space="preserve"> and Matte Coffee</w:t>
            </w:r>
          </w:p>
        </w:tc>
      </w:tr>
      <w:tr w:rsidR="00867B15" w:rsidRPr="009D7A51" w14:paraId="66815775" w14:textId="77777777" w:rsidTr="00635781">
        <w:trPr>
          <w:cantSplit/>
          <w:trHeight w:val="300"/>
        </w:trPr>
        <w:tc>
          <w:tcPr>
            <w:tcW w:w="1093" w:type="dxa"/>
            <w:vMerge/>
          </w:tcPr>
          <w:p w14:paraId="6D21FE32" w14:textId="77777777" w:rsidR="00867B15" w:rsidRPr="009D7A51" w:rsidRDefault="00867B15" w:rsidP="00635781">
            <w:pPr>
              <w:pStyle w:val="cTableText"/>
            </w:pPr>
          </w:p>
        </w:tc>
        <w:tc>
          <w:tcPr>
            <w:tcW w:w="1471" w:type="dxa"/>
            <w:shd w:val="clear" w:color="auto" w:fill="auto"/>
            <w:noWrap/>
          </w:tcPr>
          <w:p w14:paraId="4C21BA2D" w14:textId="77777777" w:rsidR="00867B15" w:rsidRPr="009D7A51" w:rsidRDefault="00867B15" w:rsidP="00635781">
            <w:pPr>
              <w:pStyle w:val="cTableText"/>
            </w:pPr>
            <w:r w:rsidRPr="009D7A51">
              <w:t>Reality-Hart</w:t>
            </w:r>
          </w:p>
        </w:tc>
        <w:tc>
          <w:tcPr>
            <w:tcW w:w="1217" w:type="dxa"/>
            <w:shd w:val="clear" w:color="auto" w:fill="auto"/>
            <w:noWrap/>
          </w:tcPr>
          <w:p w14:paraId="44F02D7C" w14:textId="77777777" w:rsidR="00867B15" w:rsidRPr="009D7A51" w:rsidRDefault="00867B15" w:rsidP="00635781">
            <w:pPr>
              <w:pStyle w:val="cTableText"/>
            </w:pPr>
            <w:r w:rsidRPr="009D7A51">
              <w:t>Women’s</w:t>
            </w:r>
          </w:p>
        </w:tc>
        <w:tc>
          <w:tcPr>
            <w:tcW w:w="1425" w:type="dxa"/>
            <w:shd w:val="clear" w:color="auto" w:fill="auto"/>
            <w:noWrap/>
          </w:tcPr>
          <w:p w14:paraId="4D0DBF6B" w14:textId="77777777" w:rsidR="00867B15" w:rsidRPr="009D7A51" w:rsidRDefault="00867B15" w:rsidP="00635781">
            <w:pPr>
              <w:pStyle w:val="cTableText"/>
            </w:pPr>
            <w:r w:rsidRPr="009D7A51">
              <w:t>51</w:t>
            </w:r>
          </w:p>
        </w:tc>
        <w:tc>
          <w:tcPr>
            <w:tcW w:w="3693" w:type="dxa"/>
            <w:shd w:val="clear" w:color="auto" w:fill="auto"/>
            <w:noWrap/>
          </w:tcPr>
          <w:p w14:paraId="23754FC1" w14:textId="77777777" w:rsidR="00867B15" w:rsidRPr="009D7A51" w:rsidRDefault="00867B15" w:rsidP="00635781">
            <w:pPr>
              <w:pStyle w:val="cTableText"/>
            </w:pPr>
            <w:r w:rsidRPr="009D7A51">
              <w:t>Onyx-Brown and Onyx-Burgundy</w:t>
            </w:r>
          </w:p>
        </w:tc>
      </w:tr>
      <w:tr w:rsidR="00867B15" w:rsidRPr="009D7A51" w14:paraId="3E469308" w14:textId="77777777" w:rsidTr="00635781">
        <w:trPr>
          <w:cantSplit/>
          <w:trHeight w:val="300"/>
        </w:trPr>
        <w:tc>
          <w:tcPr>
            <w:tcW w:w="1093" w:type="dxa"/>
            <w:vMerge/>
          </w:tcPr>
          <w:p w14:paraId="0B051420" w14:textId="77777777" w:rsidR="00867B15" w:rsidRPr="009D7A51" w:rsidRDefault="00867B15" w:rsidP="00635781">
            <w:pPr>
              <w:pStyle w:val="cTableText"/>
            </w:pPr>
          </w:p>
        </w:tc>
        <w:tc>
          <w:tcPr>
            <w:tcW w:w="1471" w:type="dxa"/>
            <w:shd w:val="clear" w:color="auto" w:fill="auto"/>
            <w:noWrap/>
          </w:tcPr>
          <w:p w14:paraId="5CE1C353" w14:textId="77777777" w:rsidR="00867B15" w:rsidRPr="009D7A51" w:rsidRDefault="00867B15" w:rsidP="00635781">
            <w:pPr>
              <w:pStyle w:val="cTableText"/>
              <w:tabs>
                <w:tab w:val="left" w:pos="1140"/>
              </w:tabs>
            </w:pPr>
            <w:r w:rsidRPr="009D7A51">
              <w:t>3714</w:t>
            </w:r>
          </w:p>
        </w:tc>
        <w:tc>
          <w:tcPr>
            <w:tcW w:w="1217" w:type="dxa"/>
            <w:shd w:val="clear" w:color="auto" w:fill="auto"/>
            <w:noWrap/>
          </w:tcPr>
          <w:p w14:paraId="5C0F2DBA" w14:textId="77777777" w:rsidR="00867B15" w:rsidRPr="009D7A51" w:rsidRDefault="00867B15" w:rsidP="00635781">
            <w:pPr>
              <w:pStyle w:val="cTableText"/>
            </w:pPr>
            <w:r w:rsidRPr="009D7A51">
              <w:t>Women’s</w:t>
            </w:r>
          </w:p>
        </w:tc>
        <w:tc>
          <w:tcPr>
            <w:tcW w:w="1425" w:type="dxa"/>
            <w:shd w:val="clear" w:color="auto" w:fill="auto"/>
            <w:noWrap/>
          </w:tcPr>
          <w:p w14:paraId="4D5A2BF6" w14:textId="77777777" w:rsidR="00867B15" w:rsidRPr="009D7A51" w:rsidRDefault="00867B15" w:rsidP="00635781">
            <w:pPr>
              <w:pStyle w:val="cTableText"/>
            </w:pPr>
            <w:r w:rsidRPr="009D7A51">
              <w:t>52</w:t>
            </w:r>
          </w:p>
        </w:tc>
        <w:tc>
          <w:tcPr>
            <w:tcW w:w="3693" w:type="dxa"/>
            <w:shd w:val="clear" w:color="auto" w:fill="auto"/>
            <w:noWrap/>
          </w:tcPr>
          <w:p w14:paraId="17554BB8" w14:textId="77777777" w:rsidR="00867B15" w:rsidRPr="009D7A51" w:rsidRDefault="00867B15" w:rsidP="00635781">
            <w:pPr>
              <w:pStyle w:val="cTableText"/>
            </w:pPr>
            <w:r w:rsidRPr="009D7A51">
              <w:t>Black-Burgundy and Tortoise</w:t>
            </w:r>
          </w:p>
        </w:tc>
      </w:tr>
      <w:tr w:rsidR="00867B15" w:rsidRPr="009D7A51" w14:paraId="24780985" w14:textId="77777777" w:rsidTr="00635781">
        <w:trPr>
          <w:cantSplit/>
          <w:trHeight w:val="300"/>
        </w:trPr>
        <w:tc>
          <w:tcPr>
            <w:tcW w:w="1093" w:type="dxa"/>
            <w:vMerge/>
          </w:tcPr>
          <w:p w14:paraId="348374CC" w14:textId="77777777" w:rsidR="00867B15" w:rsidRPr="009D7A51" w:rsidRDefault="00867B15" w:rsidP="00635781">
            <w:pPr>
              <w:pStyle w:val="cTableText"/>
            </w:pPr>
          </w:p>
        </w:tc>
        <w:tc>
          <w:tcPr>
            <w:tcW w:w="1471" w:type="dxa"/>
            <w:shd w:val="clear" w:color="auto" w:fill="auto"/>
            <w:noWrap/>
          </w:tcPr>
          <w:p w14:paraId="32247640" w14:textId="77777777" w:rsidR="00867B15" w:rsidRPr="009D7A51" w:rsidRDefault="00867B15" w:rsidP="00635781">
            <w:pPr>
              <w:pStyle w:val="cTableText"/>
              <w:tabs>
                <w:tab w:val="left" w:pos="1140"/>
              </w:tabs>
            </w:pPr>
            <w:r w:rsidRPr="009D7A51">
              <w:t>Hart-3712</w:t>
            </w:r>
          </w:p>
        </w:tc>
        <w:tc>
          <w:tcPr>
            <w:tcW w:w="1217" w:type="dxa"/>
            <w:shd w:val="clear" w:color="auto" w:fill="auto"/>
            <w:noWrap/>
          </w:tcPr>
          <w:p w14:paraId="3BD93B4F" w14:textId="77777777" w:rsidR="00867B15" w:rsidRPr="009D7A51" w:rsidRDefault="00867B15" w:rsidP="00635781">
            <w:pPr>
              <w:pStyle w:val="cTableText"/>
            </w:pPr>
            <w:r w:rsidRPr="009D7A51">
              <w:t>Men’s</w:t>
            </w:r>
          </w:p>
        </w:tc>
        <w:tc>
          <w:tcPr>
            <w:tcW w:w="1425" w:type="dxa"/>
            <w:shd w:val="clear" w:color="auto" w:fill="auto"/>
            <w:noWrap/>
          </w:tcPr>
          <w:p w14:paraId="17C5192C" w14:textId="77777777" w:rsidR="00867B15" w:rsidRPr="009D7A51" w:rsidRDefault="00867B15" w:rsidP="00635781">
            <w:pPr>
              <w:pStyle w:val="cTableText"/>
            </w:pPr>
            <w:r w:rsidRPr="009D7A51">
              <w:t>52</w:t>
            </w:r>
          </w:p>
        </w:tc>
        <w:tc>
          <w:tcPr>
            <w:tcW w:w="3693" w:type="dxa"/>
            <w:shd w:val="clear" w:color="auto" w:fill="auto"/>
            <w:noWrap/>
          </w:tcPr>
          <w:p w14:paraId="7F636DCB" w14:textId="77777777" w:rsidR="00867B15" w:rsidRPr="009D7A51" w:rsidRDefault="00867B15" w:rsidP="00635781">
            <w:pPr>
              <w:pStyle w:val="cTableText"/>
            </w:pPr>
            <w:r w:rsidRPr="009D7A51">
              <w:t>Black-Brown and Gunmetal</w:t>
            </w:r>
          </w:p>
        </w:tc>
      </w:tr>
      <w:tr w:rsidR="00867B15" w:rsidRPr="009D7A51" w14:paraId="49C1BD66" w14:textId="77777777" w:rsidTr="00635781">
        <w:trPr>
          <w:cantSplit/>
          <w:trHeight w:val="300"/>
        </w:trPr>
        <w:tc>
          <w:tcPr>
            <w:tcW w:w="1093" w:type="dxa"/>
            <w:vMerge/>
          </w:tcPr>
          <w:p w14:paraId="2C120810" w14:textId="77777777" w:rsidR="00867B15" w:rsidRPr="009D7A51" w:rsidRDefault="00867B15" w:rsidP="00635781">
            <w:pPr>
              <w:pStyle w:val="cTableText"/>
            </w:pPr>
          </w:p>
        </w:tc>
        <w:tc>
          <w:tcPr>
            <w:tcW w:w="1471" w:type="dxa"/>
            <w:shd w:val="clear" w:color="auto" w:fill="auto"/>
            <w:noWrap/>
          </w:tcPr>
          <w:p w14:paraId="4ACC11FF" w14:textId="77777777" w:rsidR="00867B15" w:rsidRPr="009D7A51" w:rsidRDefault="00867B15" w:rsidP="00635781">
            <w:pPr>
              <w:pStyle w:val="cTableText"/>
              <w:tabs>
                <w:tab w:val="left" w:pos="1140"/>
              </w:tabs>
            </w:pPr>
            <w:r w:rsidRPr="009D7A51">
              <w:t>7206</w:t>
            </w:r>
          </w:p>
        </w:tc>
        <w:tc>
          <w:tcPr>
            <w:tcW w:w="1217" w:type="dxa"/>
            <w:shd w:val="clear" w:color="auto" w:fill="auto"/>
            <w:noWrap/>
          </w:tcPr>
          <w:p w14:paraId="11DB48B8" w14:textId="77777777" w:rsidR="00867B15" w:rsidRPr="009D7A51" w:rsidRDefault="00867B15" w:rsidP="00635781">
            <w:pPr>
              <w:pStyle w:val="cTableText"/>
            </w:pPr>
            <w:r w:rsidRPr="009D7A51">
              <w:t>Girl’s</w:t>
            </w:r>
          </w:p>
        </w:tc>
        <w:tc>
          <w:tcPr>
            <w:tcW w:w="1425" w:type="dxa"/>
            <w:shd w:val="clear" w:color="auto" w:fill="auto"/>
            <w:noWrap/>
          </w:tcPr>
          <w:p w14:paraId="24816F98" w14:textId="77777777" w:rsidR="00867B15" w:rsidRPr="009D7A51" w:rsidRDefault="00867B15" w:rsidP="00635781">
            <w:pPr>
              <w:pStyle w:val="cTableText"/>
            </w:pPr>
            <w:r w:rsidRPr="009D7A51">
              <w:t>52</w:t>
            </w:r>
          </w:p>
        </w:tc>
        <w:tc>
          <w:tcPr>
            <w:tcW w:w="3693" w:type="dxa"/>
            <w:shd w:val="clear" w:color="auto" w:fill="auto"/>
            <w:noWrap/>
          </w:tcPr>
          <w:p w14:paraId="14A2EF44" w14:textId="77777777" w:rsidR="00867B15" w:rsidRPr="009D7A51" w:rsidRDefault="00867B15" w:rsidP="00635781">
            <w:pPr>
              <w:pStyle w:val="cTableText"/>
            </w:pPr>
            <w:r w:rsidRPr="009D7A51">
              <w:t>Brown and Graphite</w:t>
            </w:r>
          </w:p>
        </w:tc>
      </w:tr>
      <w:tr w:rsidR="00867B15" w:rsidRPr="009D7A51" w14:paraId="7F33988E" w14:textId="77777777" w:rsidTr="00635781">
        <w:trPr>
          <w:cantSplit/>
          <w:trHeight w:val="300"/>
        </w:trPr>
        <w:tc>
          <w:tcPr>
            <w:tcW w:w="1093" w:type="dxa"/>
            <w:vMerge/>
          </w:tcPr>
          <w:p w14:paraId="288BC6A7" w14:textId="77777777" w:rsidR="00867B15" w:rsidRPr="009D7A51" w:rsidRDefault="00867B15" w:rsidP="00635781">
            <w:pPr>
              <w:pStyle w:val="cTableText"/>
            </w:pPr>
          </w:p>
        </w:tc>
        <w:tc>
          <w:tcPr>
            <w:tcW w:w="1471" w:type="dxa"/>
            <w:shd w:val="clear" w:color="auto" w:fill="auto"/>
            <w:noWrap/>
          </w:tcPr>
          <w:p w14:paraId="1550AAEB" w14:textId="77777777" w:rsidR="00867B15" w:rsidRPr="009D7A51" w:rsidRDefault="00867B15" w:rsidP="00635781">
            <w:pPr>
              <w:pStyle w:val="cTableText"/>
            </w:pPr>
            <w:r w:rsidRPr="009D7A51">
              <w:t>Hart-9751</w:t>
            </w:r>
          </w:p>
        </w:tc>
        <w:tc>
          <w:tcPr>
            <w:tcW w:w="1217" w:type="dxa"/>
            <w:shd w:val="clear" w:color="auto" w:fill="auto"/>
            <w:noWrap/>
          </w:tcPr>
          <w:p w14:paraId="52B9C054" w14:textId="77777777" w:rsidR="00867B15" w:rsidRPr="009D7A51" w:rsidRDefault="00867B15" w:rsidP="00635781">
            <w:pPr>
              <w:pStyle w:val="cTableText"/>
            </w:pPr>
            <w:r w:rsidRPr="009D7A51">
              <w:t>Women's</w:t>
            </w:r>
          </w:p>
        </w:tc>
        <w:tc>
          <w:tcPr>
            <w:tcW w:w="1425" w:type="dxa"/>
            <w:shd w:val="clear" w:color="auto" w:fill="auto"/>
            <w:noWrap/>
          </w:tcPr>
          <w:p w14:paraId="3B1430E1" w14:textId="77777777" w:rsidR="00867B15" w:rsidRPr="009D7A51" w:rsidRDefault="00867B15" w:rsidP="00635781">
            <w:pPr>
              <w:pStyle w:val="cTableText"/>
            </w:pPr>
            <w:r w:rsidRPr="009D7A51">
              <w:t>48 and 50</w:t>
            </w:r>
          </w:p>
        </w:tc>
        <w:tc>
          <w:tcPr>
            <w:tcW w:w="3693" w:type="dxa"/>
            <w:shd w:val="clear" w:color="auto" w:fill="auto"/>
            <w:noWrap/>
          </w:tcPr>
          <w:p w14:paraId="10A403D4" w14:textId="77777777" w:rsidR="00867B15" w:rsidRPr="009D7A51" w:rsidRDefault="00867B15" w:rsidP="00635781">
            <w:pPr>
              <w:pStyle w:val="cTableText"/>
            </w:pPr>
            <w:r w:rsidRPr="009D7A51">
              <w:t xml:space="preserve">Brown, </w:t>
            </w:r>
            <w:proofErr w:type="gramStart"/>
            <w:r w:rsidRPr="009D7A51">
              <w:t>Silver</w:t>
            </w:r>
            <w:proofErr w:type="gramEnd"/>
            <w:r w:rsidRPr="009D7A51">
              <w:t xml:space="preserve"> and Lilac</w:t>
            </w:r>
          </w:p>
        </w:tc>
      </w:tr>
      <w:tr w:rsidR="00867B15" w:rsidRPr="009D7A51" w14:paraId="27A465D0" w14:textId="77777777" w:rsidTr="00635781">
        <w:trPr>
          <w:cantSplit/>
          <w:trHeight w:val="300"/>
        </w:trPr>
        <w:tc>
          <w:tcPr>
            <w:tcW w:w="1093" w:type="dxa"/>
            <w:vMerge/>
          </w:tcPr>
          <w:p w14:paraId="797076CB" w14:textId="77777777" w:rsidR="00867B15" w:rsidRPr="009D7A51" w:rsidRDefault="00867B15" w:rsidP="00635781">
            <w:pPr>
              <w:pStyle w:val="cTableText"/>
            </w:pPr>
          </w:p>
        </w:tc>
        <w:tc>
          <w:tcPr>
            <w:tcW w:w="1471" w:type="dxa"/>
            <w:shd w:val="clear" w:color="auto" w:fill="auto"/>
            <w:noWrap/>
          </w:tcPr>
          <w:p w14:paraId="6A8A49A5" w14:textId="77777777" w:rsidR="00867B15" w:rsidRPr="009D7A51" w:rsidRDefault="00867B15" w:rsidP="00635781">
            <w:pPr>
              <w:pStyle w:val="cTableText"/>
            </w:pPr>
            <w:r w:rsidRPr="009D7A51">
              <w:t>Hart-9509</w:t>
            </w:r>
          </w:p>
        </w:tc>
        <w:tc>
          <w:tcPr>
            <w:tcW w:w="1217" w:type="dxa"/>
            <w:shd w:val="clear" w:color="auto" w:fill="auto"/>
            <w:noWrap/>
          </w:tcPr>
          <w:p w14:paraId="5638418A" w14:textId="77777777" w:rsidR="00867B15" w:rsidRPr="009D7A51" w:rsidRDefault="00867B15" w:rsidP="00635781">
            <w:pPr>
              <w:pStyle w:val="cTableText"/>
            </w:pPr>
            <w:r w:rsidRPr="009D7A51">
              <w:t>Boy's</w:t>
            </w:r>
          </w:p>
        </w:tc>
        <w:tc>
          <w:tcPr>
            <w:tcW w:w="1425" w:type="dxa"/>
            <w:shd w:val="clear" w:color="auto" w:fill="auto"/>
            <w:noWrap/>
          </w:tcPr>
          <w:p w14:paraId="47373BFA" w14:textId="77777777" w:rsidR="00867B15" w:rsidRPr="009D7A51" w:rsidRDefault="00867B15" w:rsidP="00635781">
            <w:pPr>
              <w:pStyle w:val="cTableText"/>
            </w:pPr>
            <w:r w:rsidRPr="009D7A51">
              <w:t>38, 41 and 44</w:t>
            </w:r>
          </w:p>
        </w:tc>
        <w:tc>
          <w:tcPr>
            <w:tcW w:w="3693" w:type="dxa"/>
            <w:shd w:val="clear" w:color="auto" w:fill="auto"/>
            <w:noWrap/>
          </w:tcPr>
          <w:p w14:paraId="2D04AE6D" w14:textId="77777777" w:rsidR="00867B15" w:rsidRPr="009D7A51" w:rsidRDefault="00867B15" w:rsidP="00635781">
            <w:pPr>
              <w:pStyle w:val="cTableText"/>
            </w:pPr>
            <w:r w:rsidRPr="009D7A51">
              <w:t xml:space="preserve">Gold Brown, Satin </w:t>
            </w:r>
            <w:proofErr w:type="gramStart"/>
            <w:r w:rsidRPr="009D7A51">
              <w:t>Blue</w:t>
            </w:r>
            <w:proofErr w:type="gramEnd"/>
            <w:r w:rsidRPr="009D7A51">
              <w:t xml:space="preserve"> and Shiny Brown</w:t>
            </w:r>
          </w:p>
        </w:tc>
      </w:tr>
      <w:tr w:rsidR="00867B15" w:rsidRPr="009D7A51" w14:paraId="77E3B0F4" w14:textId="77777777" w:rsidTr="00635781">
        <w:trPr>
          <w:cantSplit/>
          <w:trHeight w:val="300"/>
        </w:trPr>
        <w:tc>
          <w:tcPr>
            <w:tcW w:w="1093" w:type="dxa"/>
            <w:vMerge w:val="restart"/>
          </w:tcPr>
          <w:p w14:paraId="68E2AAB6" w14:textId="77777777" w:rsidR="00867B15" w:rsidRPr="009D7A51" w:rsidRDefault="00867B15" w:rsidP="00635781">
            <w:pPr>
              <w:pStyle w:val="cTableText"/>
            </w:pPr>
            <w:proofErr w:type="spellStart"/>
            <w:r w:rsidRPr="009D7A51">
              <w:t>MiraFlex</w:t>
            </w:r>
            <w:proofErr w:type="spellEnd"/>
          </w:p>
        </w:tc>
        <w:tc>
          <w:tcPr>
            <w:tcW w:w="1471" w:type="dxa"/>
            <w:shd w:val="clear" w:color="auto" w:fill="auto"/>
            <w:noWrap/>
          </w:tcPr>
          <w:p w14:paraId="5ABBF343" w14:textId="77777777" w:rsidR="00867B15" w:rsidRPr="009D7A51" w:rsidRDefault="00867B15" w:rsidP="00635781">
            <w:pPr>
              <w:pStyle w:val="cTableText"/>
            </w:pPr>
            <w:r w:rsidRPr="009D7A51">
              <w:t>Mini Baby</w:t>
            </w:r>
          </w:p>
        </w:tc>
        <w:tc>
          <w:tcPr>
            <w:tcW w:w="1217" w:type="dxa"/>
            <w:shd w:val="clear" w:color="auto" w:fill="auto"/>
            <w:noWrap/>
          </w:tcPr>
          <w:p w14:paraId="777047CC" w14:textId="77777777" w:rsidR="00867B15" w:rsidRPr="009D7A51" w:rsidRDefault="00867B15" w:rsidP="00635781">
            <w:pPr>
              <w:pStyle w:val="cTableText"/>
            </w:pPr>
            <w:r w:rsidRPr="009D7A51">
              <w:t>Children</w:t>
            </w:r>
          </w:p>
        </w:tc>
        <w:tc>
          <w:tcPr>
            <w:tcW w:w="1425" w:type="dxa"/>
            <w:shd w:val="clear" w:color="auto" w:fill="auto"/>
            <w:noWrap/>
          </w:tcPr>
          <w:p w14:paraId="297F63FB" w14:textId="77777777" w:rsidR="00867B15" w:rsidRPr="009D7A51" w:rsidRDefault="00867B15" w:rsidP="00635781">
            <w:pPr>
              <w:pStyle w:val="cTableText"/>
            </w:pPr>
            <w:r w:rsidRPr="009D7A51">
              <w:t>Various</w:t>
            </w:r>
          </w:p>
        </w:tc>
        <w:tc>
          <w:tcPr>
            <w:tcW w:w="3693" w:type="dxa"/>
            <w:shd w:val="clear" w:color="auto" w:fill="auto"/>
            <w:noWrap/>
          </w:tcPr>
          <w:p w14:paraId="172B6C3A" w14:textId="77777777" w:rsidR="00867B15" w:rsidRPr="009D7A51" w:rsidRDefault="00867B15" w:rsidP="00635781">
            <w:pPr>
              <w:pStyle w:val="cTableText"/>
            </w:pPr>
            <w:r w:rsidRPr="009D7A51">
              <w:t>Various Colors</w:t>
            </w:r>
          </w:p>
        </w:tc>
      </w:tr>
      <w:tr w:rsidR="00867B15" w:rsidRPr="009D7A51" w14:paraId="20E8FF51" w14:textId="77777777" w:rsidTr="00635781">
        <w:trPr>
          <w:cantSplit/>
          <w:trHeight w:val="300"/>
        </w:trPr>
        <w:tc>
          <w:tcPr>
            <w:tcW w:w="1093" w:type="dxa"/>
            <w:vMerge/>
          </w:tcPr>
          <w:p w14:paraId="75087035" w14:textId="77777777" w:rsidR="00867B15" w:rsidRPr="009D7A51" w:rsidRDefault="00867B15" w:rsidP="00635781">
            <w:pPr>
              <w:pStyle w:val="cTableText"/>
            </w:pPr>
          </w:p>
        </w:tc>
        <w:tc>
          <w:tcPr>
            <w:tcW w:w="1471" w:type="dxa"/>
            <w:shd w:val="clear" w:color="auto" w:fill="auto"/>
            <w:noWrap/>
          </w:tcPr>
          <w:p w14:paraId="5FC58CED" w14:textId="77777777" w:rsidR="00867B15" w:rsidRPr="009D7A51" w:rsidRDefault="00867B15" w:rsidP="00635781">
            <w:pPr>
              <w:pStyle w:val="cTableText"/>
            </w:pPr>
            <w:r w:rsidRPr="009D7A51">
              <w:t>Baby Lux</w:t>
            </w:r>
          </w:p>
        </w:tc>
        <w:tc>
          <w:tcPr>
            <w:tcW w:w="1217" w:type="dxa"/>
            <w:shd w:val="clear" w:color="auto" w:fill="auto"/>
            <w:noWrap/>
          </w:tcPr>
          <w:p w14:paraId="38BC3AB0" w14:textId="77777777" w:rsidR="00867B15" w:rsidRPr="009D7A51" w:rsidRDefault="00867B15" w:rsidP="00635781">
            <w:pPr>
              <w:pStyle w:val="cTableText"/>
            </w:pPr>
            <w:r w:rsidRPr="009D7A51">
              <w:t>Children</w:t>
            </w:r>
          </w:p>
        </w:tc>
        <w:tc>
          <w:tcPr>
            <w:tcW w:w="1425" w:type="dxa"/>
            <w:shd w:val="clear" w:color="auto" w:fill="auto"/>
            <w:noWrap/>
          </w:tcPr>
          <w:p w14:paraId="28243C91" w14:textId="77777777" w:rsidR="00867B15" w:rsidRPr="009D7A51" w:rsidRDefault="00867B15" w:rsidP="00635781">
            <w:pPr>
              <w:pStyle w:val="cTableText"/>
            </w:pPr>
            <w:r w:rsidRPr="009D7A51">
              <w:t>Various</w:t>
            </w:r>
          </w:p>
        </w:tc>
        <w:tc>
          <w:tcPr>
            <w:tcW w:w="3693" w:type="dxa"/>
            <w:shd w:val="clear" w:color="auto" w:fill="auto"/>
            <w:noWrap/>
          </w:tcPr>
          <w:p w14:paraId="11345D39" w14:textId="77777777" w:rsidR="00867B15" w:rsidRPr="009D7A51" w:rsidRDefault="00867B15" w:rsidP="00635781">
            <w:pPr>
              <w:pStyle w:val="cTableText"/>
            </w:pPr>
            <w:r w:rsidRPr="009D7A51">
              <w:t>Various Colors</w:t>
            </w:r>
          </w:p>
        </w:tc>
      </w:tr>
      <w:tr w:rsidR="00867B15" w:rsidRPr="009D7A51" w14:paraId="6C531BB1" w14:textId="77777777" w:rsidTr="00635781">
        <w:trPr>
          <w:cantSplit/>
          <w:trHeight w:val="300"/>
        </w:trPr>
        <w:tc>
          <w:tcPr>
            <w:tcW w:w="1093" w:type="dxa"/>
            <w:vMerge/>
          </w:tcPr>
          <w:p w14:paraId="25979554" w14:textId="77777777" w:rsidR="00867B15" w:rsidRPr="009D7A51" w:rsidRDefault="00867B15" w:rsidP="00635781">
            <w:pPr>
              <w:pStyle w:val="cTableText"/>
            </w:pPr>
          </w:p>
        </w:tc>
        <w:tc>
          <w:tcPr>
            <w:tcW w:w="1471" w:type="dxa"/>
            <w:shd w:val="clear" w:color="auto" w:fill="auto"/>
            <w:noWrap/>
          </w:tcPr>
          <w:p w14:paraId="43487542" w14:textId="77777777" w:rsidR="00867B15" w:rsidRPr="009D7A51" w:rsidRDefault="00867B15" w:rsidP="00635781">
            <w:pPr>
              <w:pStyle w:val="cTableText"/>
            </w:pPr>
            <w:r w:rsidRPr="009D7A51">
              <w:t>New Baby 2</w:t>
            </w:r>
          </w:p>
        </w:tc>
        <w:tc>
          <w:tcPr>
            <w:tcW w:w="1217" w:type="dxa"/>
            <w:shd w:val="clear" w:color="auto" w:fill="auto"/>
            <w:noWrap/>
          </w:tcPr>
          <w:p w14:paraId="4DC7323A" w14:textId="77777777" w:rsidR="00867B15" w:rsidRPr="009D7A51" w:rsidRDefault="00867B15" w:rsidP="00635781">
            <w:pPr>
              <w:pStyle w:val="cTableText"/>
            </w:pPr>
            <w:r w:rsidRPr="009D7A51">
              <w:t>Children</w:t>
            </w:r>
          </w:p>
        </w:tc>
        <w:tc>
          <w:tcPr>
            <w:tcW w:w="1425" w:type="dxa"/>
            <w:shd w:val="clear" w:color="auto" w:fill="auto"/>
            <w:noWrap/>
          </w:tcPr>
          <w:p w14:paraId="6DDEBF52" w14:textId="77777777" w:rsidR="00867B15" w:rsidRPr="009D7A51" w:rsidRDefault="00867B15" w:rsidP="00635781">
            <w:pPr>
              <w:pStyle w:val="cTableText"/>
            </w:pPr>
            <w:r w:rsidRPr="009D7A51">
              <w:t>Various</w:t>
            </w:r>
          </w:p>
        </w:tc>
        <w:tc>
          <w:tcPr>
            <w:tcW w:w="3693" w:type="dxa"/>
            <w:shd w:val="clear" w:color="auto" w:fill="auto"/>
            <w:noWrap/>
          </w:tcPr>
          <w:p w14:paraId="155EAE58" w14:textId="77777777" w:rsidR="00867B15" w:rsidRPr="009D7A51" w:rsidRDefault="00867B15" w:rsidP="00635781">
            <w:pPr>
              <w:pStyle w:val="cTableText"/>
            </w:pPr>
            <w:r w:rsidRPr="009D7A51">
              <w:t>Various Colors</w:t>
            </w:r>
          </w:p>
        </w:tc>
      </w:tr>
      <w:tr w:rsidR="00867B15" w:rsidRPr="009D7A51" w14:paraId="4145A903" w14:textId="77777777" w:rsidTr="00635781">
        <w:trPr>
          <w:cantSplit/>
          <w:trHeight w:val="300"/>
        </w:trPr>
        <w:tc>
          <w:tcPr>
            <w:tcW w:w="1093" w:type="dxa"/>
            <w:vMerge w:val="restart"/>
          </w:tcPr>
          <w:p w14:paraId="4B5A3835" w14:textId="77777777" w:rsidR="00867B15" w:rsidRPr="009D7A51" w:rsidRDefault="00867B15" w:rsidP="00635781">
            <w:pPr>
              <w:pStyle w:val="cTableText"/>
            </w:pPr>
            <w:r w:rsidRPr="009D7A51">
              <w:t>LBI</w:t>
            </w:r>
          </w:p>
        </w:tc>
        <w:tc>
          <w:tcPr>
            <w:tcW w:w="1471" w:type="dxa"/>
            <w:shd w:val="clear" w:color="auto" w:fill="auto"/>
            <w:noWrap/>
          </w:tcPr>
          <w:p w14:paraId="5F2B1A1A" w14:textId="77777777" w:rsidR="00867B15" w:rsidRPr="009D7A51" w:rsidRDefault="00867B15" w:rsidP="00635781">
            <w:pPr>
              <w:pStyle w:val="cTableText"/>
            </w:pPr>
            <w:r w:rsidRPr="009D7A51">
              <w:t>Woman Day</w:t>
            </w:r>
          </w:p>
        </w:tc>
        <w:tc>
          <w:tcPr>
            <w:tcW w:w="1217" w:type="dxa"/>
            <w:shd w:val="clear" w:color="auto" w:fill="auto"/>
            <w:noWrap/>
          </w:tcPr>
          <w:p w14:paraId="139530EA" w14:textId="77777777" w:rsidR="00867B15" w:rsidRPr="009D7A51" w:rsidRDefault="00867B15" w:rsidP="00635781">
            <w:pPr>
              <w:pStyle w:val="cTableText"/>
            </w:pPr>
            <w:r w:rsidRPr="009D7A51">
              <w:t>Women's</w:t>
            </w:r>
          </w:p>
        </w:tc>
        <w:tc>
          <w:tcPr>
            <w:tcW w:w="1425" w:type="dxa"/>
            <w:shd w:val="clear" w:color="auto" w:fill="auto"/>
            <w:noWrap/>
          </w:tcPr>
          <w:p w14:paraId="5D822FD6" w14:textId="77777777" w:rsidR="00867B15" w:rsidRPr="009D7A51" w:rsidRDefault="00867B15" w:rsidP="00635781">
            <w:pPr>
              <w:pStyle w:val="cTableText"/>
            </w:pPr>
            <w:r w:rsidRPr="009D7A51">
              <w:t>55</w:t>
            </w:r>
          </w:p>
        </w:tc>
        <w:tc>
          <w:tcPr>
            <w:tcW w:w="3693" w:type="dxa"/>
            <w:shd w:val="clear" w:color="auto" w:fill="auto"/>
            <w:noWrap/>
          </w:tcPr>
          <w:p w14:paraId="667212BC" w14:textId="77777777" w:rsidR="00867B15" w:rsidRPr="009D7A51" w:rsidRDefault="00867B15" w:rsidP="00635781">
            <w:pPr>
              <w:pStyle w:val="cTableText"/>
            </w:pPr>
            <w:r w:rsidRPr="009D7A51">
              <w:t xml:space="preserve">Gold, </w:t>
            </w:r>
            <w:proofErr w:type="gramStart"/>
            <w:r w:rsidRPr="009D7A51">
              <w:t>Rose</w:t>
            </w:r>
            <w:proofErr w:type="gramEnd"/>
            <w:r w:rsidRPr="009D7A51">
              <w:t xml:space="preserve"> and Gray</w:t>
            </w:r>
          </w:p>
        </w:tc>
      </w:tr>
      <w:tr w:rsidR="00867B15" w:rsidRPr="009D7A51" w14:paraId="75D2BEF1" w14:textId="77777777" w:rsidTr="00635781">
        <w:trPr>
          <w:cantSplit/>
          <w:trHeight w:val="300"/>
        </w:trPr>
        <w:tc>
          <w:tcPr>
            <w:tcW w:w="1093" w:type="dxa"/>
            <w:vMerge/>
          </w:tcPr>
          <w:p w14:paraId="2871B574" w14:textId="77777777" w:rsidR="00867B15" w:rsidRPr="009D7A51" w:rsidRDefault="00867B15" w:rsidP="00635781">
            <w:pPr>
              <w:pStyle w:val="cTableText"/>
            </w:pPr>
          </w:p>
        </w:tc>
        <w:tc>
          <w:tcPr>
            <w:tcW w:w="1471" w:type="dxa"/>
            <w:shd w:val="clear" w:color="auto" w:fill="auto"/>
            <w:noWrap/>
          </w:tcPr>
          <w:p w14:paraId="2D4AE30E" w14:textId="77777777" w:rsidR="00867B15" w:rsidRPr="009D7A51" w:rsidRDefault="00867B15" w:rsidP="00635781">
            <w:pPr>
              <w:pStyle w:val="cTableText"/>
            </w:pPr>
            <w:r w:rsidRPr="009D7A51">
              <w:t>LBI--915</w:t>
            </w:r>
          </w:p>
        </w:tc>
        <w:tc>
          <w:tcPr>
            <w:tcW w:w="1217" w:type="dxa"/>
            <w:shd w:val="clear" w:color="auto" w:fill="auto"/>
            <w:noWrap/>
          </w:tcPr>
          <w:p w14:paraId="2CF5679B" w14:textId="77777777" w:rsidR="00867B15" w:rsidRPr="009D7A51" w:rsidRDefault="00867B15" w:rsidP="00635781">
            <w:pPr>
              <w:pStyle w:val="cTableText"/>
            </w:pPr>
            <w:r w:rsidRPr="009D7A51">
              <w:t>Women's</w:t>
            </w:r>
          </w:p>
        </w:tc>
        <w:tc>
          <w:tcPr>
            <w:tcW w:w="1425" w:type="dxa"/>
            <w:shd w:val="clear" w:color="auto" w:fill="auto"/>
            <w:noWrap/>
          </w:tcPr>
          <w:p w14:paraId="5D945EC7" w14:textId="77777777" w:rsidR="00867B15" w:rsidRPr="009D7A51" w:rsidRDefault="00867B15" w:rsidP="00635781">
            <w:pPr>
              <w:pStyle w:val="cTableText"/>
            </w:pPr>
            <w:r w:rsidRPr="009D7A51">
              <w:t>53</w:t>
            </w:r>
          </w:p>
        </w:tc>
        <w:tc>
          <w:tcPr>
            <w:tcW w:w="3693" w:type="dxa"/>
            <w:shd w:val="clear" w:color="auto" w:fill="auto"/>
            <w:noWrap/>
          </w:tcPr>
          <w:p w14:paraId="2004DE59" w14:textId="77777777" w:rsidR="00867B15" w:rsidRPr="009D7A51" w:rsidRDefault="00867B15" w:rsidP="00635781">
            <w:pPr>
              <w:pStyle w:val="cTableText"/>
            </w:pPr>
            <w:r w:rsidRPr="009D7A51">
              <w:t>Gold/Silver, Silver/</w:t>
            </w:r>
            <w:proofErr w:type="gramStart"/>
            <w:r w:rsidRPr="009D7A51">
              <w:t>Gold</w:t>
            </w:r>
            <w:proofErr w:type="gramEnd"/>
            <w:r w:rsidRPr="009D7A51">
              <w:t xml:space="preserve"> and Brown/Gold</w:t>
            </w:r>
          </w:p>
        </w:tc>
      </w:tr>
    </w:tbl>
    <w:p w14:paraId="30F40FC0" w14:textId="77777777" w:rsidR="00F12DD8" w:rsidRPr="009D7A51" w:rsidRDefault="00F12DD8" w:rsidP="00967CE8">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F00B6" w:rsidRPr="009D7A51" w14:paraId="1A5C103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E0CF751" w14:textId="77777777" w:rsidR="005F00B6" w:rsidRPr="009D7A51" w:rsidRDefault="005F00B6" w:rsidP="006D2380">
            <w:pPr>
              <w:pStyle w:val="chead2"/>
            </w:pPr>
            <w:bookmarkStart w:id="67" w:name="_Toc138131559"/>
            <w:bookmarkStart w:id="68" w:name="_Toc199331876"/>
            <w:r w:rsidRPr="009D7A51">
              <w:t>216.000</w:t>
            </w:r>
            <w:r w:rsidRPr="009D7A51">
              <w:tab/>
              <w:t>Medical Procedures Billable by Optometrists</w:t>
            </w:r>
            <w:bookmarkEnd w:id="67"/>
            <w:bookmarkEnd w:id="68"/>
          </w:p>
        </w:tc>
        <w:tc>
          <w:tcPr>
            <w:tcW w:w="1238" w:type="dxa"/>
            <w:tcBorders>
              <w:top w:val="single" w:sz="2" w:space="0" w:color="FFFFFF"/>
              <w:left w:val="single" w:sz="6" w:space="0" w:color="FFFFFF"/>
              <w:bottom w:val="single" w:sz="2" w:space="0" w:color="FFFFFF"/>
              <w:right w:val="single" w:sz="2" w:space="0" w:color="FFFFFF"/>
            </w:tcBorders>
          </w:tcPr>
          <w:p w14:paraId="7278AB99" w14:textId="77777777" w:rsidR="005F00B6" w:rsidRPr="009D7A51" w:rsidRDefault="005F00B6" w:rsidP="006D2380">
            <w:pPr>
              <w:pStyle w:val="cDate2"/>
            </w:pPr>
            <w:smartTag w:uri="urn:schemas-microsoft-com:office:smarttags" w:element="date">
              <w:smartTagPr>
                <w:attr w:name="Month" w:val="12"/>
                <w:attr w:name="Day" w:val="1"/>
                <w:attr w:name="Year" w:val="2006"/>
              </w:smartTagPr>
              <w:r w:rsidRPr="009D7A51">
                <w:t>12-1-06</w:t>
              </w:r>
            </w:smartTag>
          </w:p>
        </w:tc>
      </w:tr>
    </w:tbl>
    <w:p w14:paraId="58E786D1" w14:textId="77777777" w:rsidR="005F00B6" w:rsidRPr="009D7A51" w:rsidRDefault="005F00B6" w:rsidP="005F00B6">
      <w:pPr>
        <w:pStyle w:val="ctext"/>
      </w:pPr>
      <w:r w:rsidRPr="009D7A51">
        <w:t xml:space="preserve">Optometrists are allowed to bill for certain procedures for office medical services and special services previously payable only to physicians.  </w:t>
      </w:r>
    </w:p>
    <w:p w14:paraId="452BE288" w14:textId="77777777" w:rsidR="005F00B6" w:rsidRPr="009D7A51" w:rsidRDefault="005F00B6" w:rsidP="005F00B6">
      <w:pPr>
        <w:pStyle w:val="ctext"/>
      </w:pPr>
      <w:r w:rsidRPr="009D7A51">
        <w:t xml:space="preserve">The office medical services provided by an optometrist will be limited to twelve visits per state fiscal year for individuals </w:t>
      </w:r>
      <w:proofErr w:type="gramStart"/>
      <w:r w:rsidRPr="009D7A51">
        <w:t>age</w:t>
      </w:r>
      <w:proofErr w:type="gramEnd"/>
      <w:r w:rsidRPr="009D7A51">
        <w:t xml:space="preserve"> 21 and over.  The benefit limit will be used in conjunction with four other programs.  These programs are physicians’ services, medical services provided by dentists, rural health clinic services and certified nurse-midwife services.  Beneficiaries will be allowed twelve visits per state fiscal year for office medical services furnished by an optometrist, medical services furnished by a dentist, physicians’ services, rural health clinic services, certified nurse-midwife </w:t>
      </w:r>
      <w:proofErr w:type="gramStart"/>
      <w:r w:rsidRPr="009D7A51">
        <w:t>services</w:t>
      </w:r>
      <w:proofErr w:type="gramEnd"/>
      <w:r w:rsidRPr="009D7A51">
        <w:t xml:space="preserve"> or a combination of the five.  Extensions beyond the twelve-visit limit may </w:t>
      </w:r>
      <w:r w:rsidRPr="009D7A51">
        <w:lastRenderedPageBreak/>
        <w:t xml:space="preserve">be provided if medically necessary.  Office medical services for beneficiaries under age 21 in the Child Health Services (EPSDT) Program are not benefit limited.  Procedure codes, description of services and special billing instructions </w:t>
      </w:r>
      <w:proofErr w:type="gramStart"/>
      <w:r w:rsidRPr="009D7A51">
        <w:t>are located in</w:t>
      </w:r>
      <w:proofErr w:type="gramEnd"/>
      <w:r w:rsidRPr="009D7A51">
        <w:t xml:space="preserve"> Section 240.000 of this manual.</w:t>
      </w:r>
    </w:p>
    <w:p w14:paraId="3F9E56BF" w14:textId="77777777" w:rsidR="005F00B6" w:rsidRPr="009D7A51" w:rsidRDefault="005F00B6" w:rsidP="005F00B6">
      <w:pPr>
        <w:pStyle w:val="ctext"/>
      </w:pPr>
      <w:r w:rsidRPr="009D7A51">
        <w:t>All beneficiaries of vision and medical eye care may have direct access to optometrists as primary eye care providers, independent of the primary care provider (e.g., physician, Federally Qualified Health Center (FQHC), etc.).</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5484F" w:rsidRPr="009D7A51" w14:paraId="3FC161E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872A0F9" w14:textId="77777777" w:rsidR="0085484F" w:rsidRPr="009D7A51" w:rsidRDefault="0085484F" w:rsidP="008C0E88">
            <w:pPr>
              <w:pStyle w:val="chead2"/>
            </w:pPr>
            <w:bookmarkStart w:id="69" w:name="_Toc24252747"/>
            <w:bookmarkStart w:id="70" w:name="_Toc199331877"/>
            <w:r w:rsidRPr="009D7A51">
              <w:t>216.100</w:t>
            </w:r>
            <w:r w:rsidRPr="009D7A51">
              <w:tab/>
              <w:t>Extension of Benefits for Office Medical Services Provided by an Optometrist</w:t>
            </w:r>
            <w:bookmarkEnd w:id="69"/>
            <w:bookmarkEnd w:id="70"/>
          </w:p>
        </w:tc>
        <w:tc>
          <w:tcPr>
            <w:tcW w:w="1238" w:type="dxa"/>
            <w:tcBorders>
              <w:top w:val="single" w:sz="2" w:space="0" w:color="FFFFFF"/>
              <w:left w:val="single" w:sz="6" w:space="0" w:color="FFFFFF"/>
              <w:bottom w:val="single" w:sz="2" w:space="0" w:color="FFFFFF"/>
              <w:right w:val="single" w:sz="2" w:space="0" w:color="FFFFFF"/>
            </w:tcBorders>
          </w:tcPr>
          <w:p w14:paraId="20964427" w14:textId="77777777" w:rsidR="0085484F" w:rsidRPr="009D7A51" w:rsidRDefault="0085484F" w:rsidP="00A007A0">
            <w:pPr>
              <w:pStyle w:val="cDate2"/>
            </w:pPr>
            <w:smartTag w:uri="urn:schemas-microsoft-com:office:smarttags" w:element="date">
              <w:smartTagPr>
                <w:attr w:name="Year" w:val="2003"/>
                <w:attr w:name="Day" w:val="13"/>
                <w:attr w:name="Month" w:val="10"/>
              </w:smartTagPr>
              <w:r w:rsidRPr="009D7A51">
                <w:t>10-13-03</w:t>
              </w:r>
            </w:smartTag>
          </w:p>
        </w:tc>
      </w:tr>
    </w:tbl>
    <w:p w14:paraId="78D51382" w14:textId="77777777" w:rsidR="0085484F" w:rsidRPr="009D7A51" w:rsidRDefault="0085484F" w:rsidP="00A007A0">
      <w:pPr>
        <w:pStyle w:val="ctext"/>
      </w:pPr>
      <w:r w:rsidRPr="009D7A51">
        <w:t xml:space="preserve">Extensions of benefits beyond the twelve-visit limit for individuals </w:t>
      </w:r>
      <w:proofErr w:type="gramStart"/>
      <w:r w:rsidRPr="009D7A51">
        <w:t>age</w:t>
      </w:r>
      <w:proofErr w:type="gramEnd"/>
      <w:r w:rsidRPr="009D7A51">
        <w:t xml:space="preserve"> 21 and over may be provided, if medically necessary, for office medical services provided by an optometrist and in conjunction with four other programs.  Those programs are physicians’ services, medical services provided by dentists, rural health clinic services and certified nurse-midwife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86B89" w:rsidRPr="009D7A51" w14:paraId="01FADEC8"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15A5E76" w14:textId="77777777" w:rsidR="00A86B89" w:rsidRPr="009D7A51" w:rsidRDefault="00A86B89" w:rsidP="00A007A0">
            <w:pPr>
              <w:pStyle w:val="chead2"/>
            </w:pPr>
            <w:bookmarkStart w:id="71" w:name="_Toc24252748"/>
            <w:bookmarkStart w:id="72" w:name="_Toc199331878"/>
            <w:r w:rsidRPr="009D7A51">
              <w:t>216.200</w:t>
            </w:r>
            <w:r w:rsidRPr="009D7A51">
              <w:tab/>
            </w:r>
            <w:r w:rsidR="0044476F" w:rsidRPr="009D7A51">
              <w:t>Procedure for Obtaining Extension of Benefits for Medical Services Provided by an Optometrist</w:t>
            </w:r>
            <w:bookmarkEnd w:id="71"/>
            <w:bookmarkEnd w:id="72"/>
          </w:p>
        </w:tc>
        <w:tc>
          <w:tcPr>
            <w:tcW w:w="1238" w:type="dxa"/>
            <w:tcBorders>
              <w:top w:val="single" w:sz="2" w:space="0" w:color="FFFFFF"/>
              <w:left w:val="single" w:sz="6" w:space="0" w:color="FFFFFF"/>
              <w:bottom w:val="single" w:sz="2" w:space="0" w:color="FFFFFF"/>
              <w:right w:val="single" w:sz="2" w:space="0" w:color="FFFFFF"/>
            </w:tcBorders>
          </w:tcPr>
          <w:p w14:paraId="22E68EA4" w14:textId="77777777" w:rsidR="00A86B89" w:rsidRPr="009D7A51" w:rsidRDefault="0044476F" w:rsidP="00A007A0">
            <w:pPr>
              <w:pStyle w:val="cDate2"/>
            </w:pPr>
            <w:r w:rsidRPr="009D7A51">
              <w:t>8-1-21</w:t>
            </w:r>
          </w:p>
        </w:tc>
      </w:tr>
    </w:tbl>
    <w:p w14:paraId="104150C9" w14:textId="4082FDD2" w:rsidR="0044476F" w:rsidRPr="009D7A51" w:rsidRDefault="0044476F" w:rsidP="0044476F">
      <w:pPr>
        <w:pStyle w:val="CLETTERED"/>
      </w:pPr>
      <w:r w:rsidRPr="009D7A51">
        <w:t>A.</w:t>
      </w:r>
      <w:r w:rsidRPr="009D7A51">
        <w:tab/>
        <w:t xml:space="preserve">Requests for extension of benefits for medical services provided by an optometrist must be submitted to DHS or its designated vendor.  </w:t>
      </w:r>
      <w:hyperlink r:id="rId25" w:history="1">
        <w:r w:rsidRPr="009D7A51">
          <w:rPr>
            <w:rStyle w:val="Hyperlink"/>
          </w:rPr>
          <w:t>View or print contact information to obtain instructions for submitting the request.</w:t>
        </w:r>
      </w:hyperlink>
      <w:r w:rsidRPr="009D7A51">
        <w:rPr>
          <w:rStyle w:val="Hyperlink"/>
        </w:rPr>
        <w:t xml:space="preserve">  </w:t>
      </w:r>
      <w:r w:rsidRPr="009D7A51">
        <w:t>Requests for extension of benefits are considered only after a claim is filed and is denied because the patient’s benefit limits are exhausted.</w:t>
      </w:r>
    </w:p>
    <w:p w14:paraId="34C4F65B" w14:textId="77777777" w:rsidR="0044476F" w:rsidRPr="009D7A51" w:rsidRDefault="0044476F" w:rsidP="0044476F">
      <w:pPr>
        <w:pStyle w:val="CLETTERED"/>
      </w:pPr>
      <w:r w:rsidRPr="009D7A51">
        <w:tab/>
        <w:t xml:space="preserve">Submit a copy of the Medical Assistance Remittance and Status Report reflecting the claim’s denial for exhausted benefits with the request.  </w:t>
      </w:r>
      <w:r w:rsidRPr="009D7A51">
        <w:rPr>
          <w:i/>
          <w:iCs/>
        </w:rPr>
        <w:t>Do not</w:t>
      </w:r>
      <w:r w:rsidRPr="009D7A51">
        <w:t xml:space="preserve"> send a claim.</w:t>
      </w:r>
    </w:p>
    <w:p w14:paraId="032BC88B" w14:textId="77777777" w:rsidR="00C81E83" w:rsidRPr="009D7A51" w:rsidRDefault="0044476F" w:rsidP="0044476F">
      <w:pPr>
        <w:pStyle w:val="CLETTERED"/>
      </w:pPr>
      <w:r w:rsidRPr="009D7A51">
        <w:t>B.</w:t>
      </w:r>
      <w:r w:rsidRPr="009D7A51">
        <w:tab/>
        <w:t>A request for extension of benefits must be received within ninety (90) calendar days of the date of benefits-exhausted denial.  Requests received after the 90-day deadline will not be considered.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F28A7" w:rsidRPr="009D7A51" w14:paraId="3495876B" w14:textId="77777777" w:rsidTr="003F660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1B93AE9" w14:textId="77777777" w:rsidR="007F28A7" w:rsidRPr="009D7A51" w:rsidRDefault="007F28A7" w:rsidP="003F660F">
            <w:pPr>
              <w:pStyle w:val="chead2"/>
            </w:pPr>
            <w:bookmarkStart w:id="73" w:name="_Toc144104961"/>
            <w:bookmarkStart w:id="74" w:name="_Toc199331879"/>
            <w:r w:rsidRPr="009D7A51">
              <w:t>216.210</w:t>
            </w:r>
            <w:r w:rsidRPr="009D7A51">
              <w:tab/>
            </w:r>
            <w:r w:rsidR="00C40517" w:rsidRPr="009D7A51">
              <w:t xml:space="preserve">Completion of Form DMS-671, “Request </w:t>
            </w:r>
            <w:proofErr w:type="gramStart"/>
            <w:r w:rsidR="00C40517" w:rsidRPr="009D7A51">
              <w:t>For</w:t>
            </w:r>
            <w:proofErr w:type="gramEnd"/>
            <w:r w:rsidR="00C40517" w:rsidRPr="009D7A51">
              <w:t xml:space="preserve"> Extension of Benefits for Clinical, Outpatient, Diagnostic Laboratory, and Radiology/Other Services”</w:t>
            </w:r>
            <w:bookmarkEnd w:id="73"/>
            <w:bookmarkEnd w:id="74"/>
          </w:p>
        </w:tc>
        <w:tc>
          <w:tcPr>
            <w:tcW w:w="1238" w:type="dxa"/>
            <w:tcBorders>
              <w:top w:val="single" w:sz="2" w:space="0" w:color="FFFFFF"/>
              <w:left w:val="single" w:sz="6" w:space="0" w:color="FFFFFF"/>
              <w:bottom w:val="single" w:sz="2" w:space="0" w:color="FFFFFF"/>
              <w:right w:val="single" w:sz="2" w:space="0" w:color="FFFFFF"/>
            </w:tcBorders>
          </w:tcPr>
          <w:p w14:paraId="7A15E23F" w14:textId="77777777" w:rsidR="007F28A7" w:rsidRPr="009D7A51" w:rsidRDefault="00C40517" w:rsidP="003F660F">
            <w:pPr>
              <w:pStyle w:val="cDate2"/>
            </w:pPr>
            <w:r w:rsidRPr="009D7A51">
              <w:t>7-1-22</w:t>
            </w:r>
          </w:p>
        </w:tc>
      </w:tr>
    </w:tbl>
    <w:p w14:paraId="6778E983" w14:textId="77777777" w:rsidR="00C40517" w:rsidRPr="009D7A51" w:rsidRDefault="00C40517" w:rsidP="00C40517">
      <w:pPr>
        <w:pStyle w:val="CLETTERED"/>
      </w:pPr>
      <w:r w:rsidRPr="009D7A51">
        <w:t>A.</w:t>
      </w:r>
      <w:r w:rsidRPr="009D7A51">
        <w:tab/>
        <w:t>The Medicaid Program’s diagnostic laboratory services benefit limit and radiology/other services benefit limit each apply to the outpatient setting.</w:t>
      </w:r>
    </w:p>
    <w:p w14:paraId="24A33809" w14:textId="77777777" w:rsidR="00C40517" w:rsidRPr="009D7A51" w:rsidRDefault="00C40517" w:rsidP="00C40517">
      <w:pPr>
        <w:pStyle w:val="cnumbered"/>
      </w:pPr>
      <w:r w:rsidRPr="009D7A51">
        <w:t>1.</w:t>
      </w:r>
      <w:r w:rsidRPr="009D7A51">
        <w:tab/>
        <w:t>Diagnostic laboratory services benefits are limited to five hundred dollars ($500) per State Fiscal Year (SFY: July 1 through June 30), and radiology/other services benefits are limited to five hundred dollars ($500) per SFY.</w:t>
      </w:r>
    </w:p>
    <w:p w14:paraId="24A964E6" w14:textId="77777777" w:rsidR="00C40517" w:rsidRPr="009D7A51" w:rsidRDefault="00C40517" w:rsidP="00C40517">
      <w:pPr>
        <w:pStyle w:val="cnumbered"/>
      </w:pPr>
      <w:r w:rsidRPr="009D7A51">
        <w:t>2</w:t>
      </w:r>
      <w:r w:rsidRPr="009D7A51">
        <w:tab/>
        <w:t>Radiology/other services include without limitation diagnostic X-rays, ultrasounds, and electronic monitoring/machine tests, such as electrocardiograms (ECG or EKG).</w:t>
      </w:r>
    </w:p>
    <w:p w14:paraId="119084CE" w14:textId="77777777" w:rsidR="00C40517" w:rsidRPr="009D7A51" w:rsidRDefault="00C40517" w:rsidP="00C40517">
      <w:pPr>
        <w:pStyle w:val="cnumbered"/>
      </w:pPr>
      <w:r w:rsidRPr="009D7A51">
        <w:t>3.</w:t>
      </w:r>
      <w:r w:rsidRPr="009D7A51">
        <w:tab/>
        <w:t>Diagnostic laboratory services and radiology/other services defined as Essential Health Benefits by the U.S. Preventive Services Task Force (USPSTF) are exempt from counting toward either of the two new annual caps.</w:t>
      </w:r>
    </w:p>
    <w:p w14:paraId="70437D9E" w14:textId="0386126D" w:rsidR="00C40517" w:rsidRPr="009D7A51" w:rsidRDefault="00FC102C" w:rsidP="00C40517">
      <w:pPr>
        <w:pStyle w:val="cnumbered"/>
      </w:pPr>
      <w:hyperlink r:id="rId26" w:history="1">
        <w:r w:rsidR="00C40517" w:rsidRPr="009D7A51">
          <w:rPr>
            <w:rStyle w:val="Hyperlink"/>
          </w:rPr>
          <w:t>View or print the essential health benefit procedure codes.</w:t>
        </w:r>
      </w:hyperlink>
    </w:p>
    <w:p w14:paraId="68370BBC" w14:textId="77777777" w:rsidR="00C40517" w:rsidRPr="009D7A51" w:rsidRDefault="00C40517" w:rsidP="00C40517">
      <w:pPr>
        <w:pStyle w:val="CLETTERED"/>
      </w:pPr>
      <w:r w:rsidRPr="009D7A51">
        <w:t>B.</w:t>
      </w:r>
      <w:r w:rsidRPr="009D7A51">
        <w:tab/>
        <w:t>Requests for extension of benefits for clinical services (physician’s visits) outpatient services (hospital outpatient visits), diagnostic laboratory services (laboratory tests), and radiology/other services must be submitted to DHS or its designated vendor for consideration.</w:t>
      </w:r>
    </w:p>
    <w:p w14:paraId="22CA1685" w14:textId="406EFA61" w:rsidR="00C40517" w:rsidRPr="009D7A51" w:rsidRDefault="00C40517" w:rsidP="00C40517">
      <w:pPr>
        <w:pStyle w:val="CLETTERED"/>
        <w:rPr>
          <w:rStyle w:val="Hyperlink"/>
        </w:rPr>
      </w:pPr>
      <w:r w:rsidRPr="009D7A51">
        <w:tab/>
      </w:r>
      <w:hyperlink r:id="rId27" w:history="1">
        <w:r w:rsidRPr="009D7A51">
          <w:rPr>
            <w:rStyle w:val="Hyperlink"/>
          </w:rPr>
          <w:t>View or print contact information to obtain instructions for submitting the request.</w:t>
        </w:r>
      </w:hyperlink>
    </w:p>
    <w:p w14:paraId="3DCEC362" w14:textId="1758FC96" w:rsidR="00C40517" w:rsidRPr="009D7A51" w:rsidRDefault="00C40517" w:rsidP="00C40517">
      <w:pPr>
        <w:pStyle w:val="cnumbered"/>
        <w:rPr>
          <w:rStyle w:val="Hyperlink"/>
        </w:rPr>
      </w:pPr>
      <w:r w:rsidRPr="009D7A51">
        <w:t>1.</w:t>
      </w:r>
      <w:r w:rsidRPr="009D7A51">
        <w:tab/>
        <w:t xml:space="preserve">Requests for extension of benefits requires correct completion of all fields on the “Request for Extension of Benefits for Clinical, Outpatient, Diagnostic Laboratory, </w:t>
      </w:r>
      <w:r w:rsidRPr="009D7A51">
        <w:lastRenderedPageBreak/>
        <w:t xml:space="preserve">and Radiology/Other Services” form (Form DMS-671). </w:t>
      </w:r>
      <w:hyperlink r:id="rId28" w:history="1">
        <w:r w:rsidRPr="009D7A51">
          <w:rPr>
            <w:rStyle w:val="Hyperlink"/>
          </w:rPr>
          <w:t>View or print Form DMS-671.</w:t>
        </w:r>
      </w:hyperlink>
    </w:p>
    <w:p w14:paraId="402A62FD" w14:textId="2924DFD6" w:rsidR="007F28A7" w:rsidRPr="009D7A51" w:rsidRDefault="00C40517" w:rsidP="00C40517">
      <w:pPr>
        <w:pStyle w:val="cnumbered"/>
      </w:pPr>
      <w:r w:rsidRPr="009D7A51">
        <w:t>2.</w:t>
      </w:r>
      <w:r w:rsidRPr="009D7A51">
        <w:tab/>
      </w:r>
      <w:r w:rsidRPr="009D7A51">
        <w:rPr>
          <w:b/>
          <w:bCs/>
        </w:rPr>
        <w:t xml:space="preserve">Instructions for accurate competition of Form DMS-671 (including indication of required attachments) accompany the Form. All forms are listed and accessible in </w:t>
      </w:r>
      <w:hyperlink r:id="rId29" w:history="1">
        <w:r w:rsidRPr="009D7A51">
          <w:rPr>
            <w:rStyle w:val="Hyperlink"/>
          </w:rPr>
          <w:t>Section V</w:t>
        </w:r>
      </w:hyperlink>
      <w:r w:rsidRPr="009D7A51">
        <w:rPr>
          <w:b/>
          <w:bCs/>
        </w:rPr>
        <w:t xml:space="preserve"> of each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86B89" w:rsidRPr="009D7A51" w14:paraId="6B9F0CB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5245C54" w14:textId="77777777" w:rsidR="00A86B89" w:rsidRPr="009D7A51" w:rsidRDefault="00866DD2" w:rsidP="00351B05">
            <w:pPr>
              <w:pStyle w:val="chead2"/>
            </w:pPr>
            <w:bookmarkStart w:id="75" w:name="_Toc199331880"/>
            <w:r w:rsidRPr="009D7A51">
              <w:t>2</w:t>
            </w:r>
            <w:r w:rsidR="00A86B89" w:rsidRPr="009D7A51">
              <w:t>16.220</w:t>
            </w:r>
            <w:r w:rsidR="00A86B89" w:rsidRPr="009D7A51">
              <w:tab/>
              <w:t>Documentation Requirements</w:t>
            </w:r>
            <w:bookmarkEnd w:id="75"/>
          </w:p>
        </w:tc>
        <w:tc>
          <w:tcPr>
            <w:tcW w:w="1238" w:type="dxa"/>
            <w:tcBorders>
              <w:top w:val="single" w:sz="2" w:space="0" w:color="FFFFFF"/>
              <w:left w:val="single" w:sz="6" w:space="0" w:color="FFFFFF"/>
              <w:bottom w:val="single" w:sz="2" w:space="0" w:color="FFFFFF"/>
              <w:right w:val="single" w:sz="2" w:space="0" w:color="FFFFFF"/>
            </w:tcBorders>
          </w:tcPr>
          <w:p w14:paraId="4EF6C2E1" w14:textId="77777777" w:rsidR="00A86B89" w:rsidRPr="009D7A51" w:rsidRDefault="00C40517" w:rsidP="00351B05">
            <w:pPr>
              <w:pStyle w:val="cDate2"/>
            </w:pPr>
            <w:r w:rsidRPr="009D7A51">
              <w:t>7-1-22</w:t>
            </w:r>
          </w:p>
        </w:tc>
      </w:tr>
    </w:tbl>
    <w:p w14:paraId="4FB71C7F" w14:textId="77777777" w:rsidR="00C40517" w:rsidRPr="009D7A51" w:rsidRDefault="00C40517" w:rsidP="00C40517">
      <w:pPr>
        <w:pStyle w:val="CLETTERED"/>
      </w:pPr>
      <w:r w:rsidRPr="009D7A51">
        <w:t>A.</w:t>
      </w:r>
      <w:r w:rsidRPr="009D7A51">
        <w:tab/>
        <w:t>The Medicaid Program’s diagnostic laboratory services benefit limit and radiology/other services benefit limit each apply to the outpatient setting.</w:t>
      </w:r>
    </w:p>
    <w:p w14:paraId="3ECD1C83" w14:textId="77777777" w:rsidR="00C40517" w:rsidRPr="009D7A51" w:rsidRDefault="00C40517" w:rsidP="00C40517">
      <w:pPr>
        <w:pStyle w:val="cnumbered"/>
      </w:pPr>
      <w:r w:rsidRPr="009D7A51">
        <w:t>1</w:t>
      </w:r>
      <w:r w:rsidRPr="009D7A51">
        <w:tab/>
        <w:t>Diagnostic laboratory services benefits are limited to five hundred dollars ($500) per State Fiscal Year (SFY: July 1 through June 30), and radiology/other services benefits are limited to five hundred dollars ($500) per SFY.</w:t>
      </w:r>
    </w:p>
    <w:p w14:paraId="5DCBA867" w14:textId="77777777" w:rsidR="00C40517" w:rsidRPr="009D7A51" w:rsidRDefault="00C40517" w:rsidP="00C40517">
      <w:pPr>
        <w:pStyle w:val="cnumbered"/>
      </w:pPr>
      <w:r w:rsidRPr="009D7A51">
        <w:t>2</w:t>
      </w:r>
      <w:r w:rsidRPr="009D7A51">
        <w:tab/>
        <w:t>Radiology/other services include without limitation diagnostic X-rays, ultrasounds, and electronic monitoring/machine tests, such as electrocardiograms (ECG or EKG).</w:t>
      </w:r>
    </w:p>
    <w:p w14:paraId="690856F3" w14:textId="77777777" w:rsidR="00C40517" w:rsidRPr="009D7A51" w:rsidRDefault="00C40517" w:rsidP="00C40517">
      <w:pPr>
        <w:pStyle w:val="cnumbered"/>
      </w:pPr>
      <w:r w:rsidRPr="009D7A51">
        <w:t>3.</w:t>
      </w:r>
      <w:r w:rsidRPr="009D7A51">
        <w:tab/>
        <w:t>Diagnostic laboratory services and radiology/other services defined as Essential Health Benefits by the U.S. Preventive Services Task Force (USPSTF) are exempt from counting toward either of the two new annual caps.</w:t>
      </w:r>
    </w:p>
    <w:p w14:paraId="7FFC98D1" w14:textId="77777777" w:rsidR="00C40517" w:rsidRPr="009D7A51" w:rsidRDefault="00C40517" w:rsidP="00C40517">
      <w:pPr>
        <w:pStyle w:val="CLETTERED"/>
      </w:pPr>
      <w:r w:rsidRPr="009D7A51">
        <w:t>B.</w:t>
      </w:r>
      <w:r w:rsidRPr="009D7A51">
        <w:tab/>
        <w:t>To request extension of benefits for any services with benefit limits, all applicable records that support the medical necessity of extended benefits are required.</w:t>
      </w:r>
    </w:p>
    <w:p w14:paraId="187F8363" w14:textId="77777777" w:rsidR="00C40517" w:rsidRPr="009D7A51" w:rsidRDefault="00C40517" w:rsidP="00C40517">
      <w:pPr>
        <w:pStyle w:val="CLETTERED"/>
      </w:pPr>
      <w:r w:rsidRPr="009D7A51">
        <w:t>C.</w:t>
      </w:r>
      <w:r w:rsidRPr="009D7A51">
        <w:tab/>
        <w:t>Documentation requirements are as follows.</w:t>
      </w:r>
    </w:p>
    <w:p w14:paraId="6EE0315F" w14:textId="77777777" w:rsidR="00C40517" w:rsidRPr="009D7A51" w:rsidRDefault="00C40517" w:rsidP="00C40517">
      <w:pPr>
        <w:pStyle w:val="cnumbered"/>
      </w:pPr>
      <w:r w:rsidRPr="009D7A51">
        <w:t>1.</w:t>
      </w:r>
      <w:r w:rsidRPr="009D7A51">
        <w:tab/>
        <w:t>Clinical records must:</w:t>
      </w:r>
    </w:p>
    <w:p w14:paraId="29D3037F" w14:textId="77777777" w:rsidR="00C40517" w:rsidRPr="009D7A51" w:rsidRDefault="00C40517" w:rsidP="00C40517">
      <w:pPr>
        <w:pStyle w:val="cletteredindent"/>
      </w:pPr>
      <w:r w:rsidRPr="009D7A51">
        <w:t>a.</w:t>
      </w:r>
      <w:r w:rsidRPr="009D7A51">
        <w:tab/>
        <w:t xml:space="preserve">Be legible and include records supporting the specific </w:t>
      </w:r>
      <w:proofErr w:type="gramStart"/>
      <w:r w:rsidRPr="009D7A51">
        <w:t>request;</w:t>
      </w:r>
      <w:proofErr w:type="gramEnd"/>
    </w:p>
    <w:p w14:paraId="1F39EDE4" w14:textId="77777777" w:rsidR="00C40517" w:rsidRPr="009D7A51" w:rsidRDefault="00C40517" w:rsidP="00C40517">
      <w:pPr>
        <w:pStyle w:val="cletteredindent"/>
      </w:pPr>
      <w:r w:rsidRPr="009D7A51">
        <w:t>b.</w:t>
      </w:r>
      <w:r w:rsidRPr="009D7A51">
        <w:tab/>
        <w:t xml:space="preserve">Be signed by the performing </w:t>
      </w:r>
      <w:proofErr w:type="gramStart"/>
      <w:r w:rsidRPr="009D7A51">
        <w:t>provider;</w:t>
      </w:r>
      <w:proofErr w:type="gramEnd"/>
    </w:p>
    <w:p w14:paraId="0C67F3A3" w14:textId="77777777" w:rsidR="00C40517" w:rsidRPr="009D7A51" w:rsidRDefault="00C40517" w:rsidP="00C40517">
      <w:pPr>
        <w:pStyle w:val="cletteredindent"/>
      </w:pPr>
      <w:r w:rsidRPr="009D7A51">
        <w:t>c.</w:t>
      </w:r>
      <w:r w:rsidRPr="009D7A51">
        <w:tab/>
        <w:t xml:space="preserve">Include clinical, outpatient, and emergency room records for dates of service in chronological </w:t>
      </w:r>
      <w:proofErr w:type="gramStart"/>
      <w:r w:rsidRPr="009D7A51">
        <w:t>order;</w:t>
      </w:r>
      <w:proofErr w:type="gramEnd"/>
    </w:p>
    <w:p w14:paraId="0AFA6359" w14:textId="77777777" w:rsidR="00C40517" w:rsidRPr="009D7A51" w:rsidRDefault="00C40517" w:rsidP="00C40517">
      <w:pPr>
        <w:pStyle w:val="cletteredindent"/>
      </w:pPr>
      <w:r w:rsidRPr="009D7A51">
        <w:t>d.</w:t>
      </w:r>
      <w:r w:rsidRPr="009D7A51">
        <w:tab/>
        <w:t xml:space="preserve">Include related diabetic and blood pressure flow </w:t>
      </w:r>
      <w:proofErr w:type="gramStart"/>
      <w:r w:rsidRPr="009D7A51">
        <w:t>sheets;</w:t>
      </w:r>
      <w:proofErr w:type="gramEnd"/>
    </w:p>
    <w:p w14:paraId="42C20A79" w14:textId="77777777" w:rsidR="00C40517" w:rsidRPr="009D7A51" w:rsidRDefault="00C40517" w:rsidP="00C40517">
      <w:pPr>
        <w:pStyle w:val="cletteredindent"/>
      </w:pPr>
      <w:r w:rsidRPr="009D7A51">
        <w:t>e.</w:t>
      </w:r>
      <w:r w:rsidRPr="009D7A51">
        <w:tab/>
        <w:t xml:space="preserve">Include current medication list for date of </w:t>
      </w:r>
      <w:proofErr w:type="gramStart"/>
      <w:r w:rsidRPr="009D7A51">
        <w:t>service;</w:t>
      </w:r>
      <w:proofErr w:type="gramEnd"/>
    </w:p>
    <w:p w14:paraId="2918A631" w14:textId="77777777" w:rsidR="00C40517" w:rsidRPr="009D7A51" w:rsidRDefault="00C40517" w:rsidP="00C40517">
      <w:pPr>
        <w:pStyle w:val="cletteredindent"/>
      </w:pPr>
      <w:r w:rsidRPr="009D7A51">
        <w:t>f.</w:t>
      </w:r>
      <w:r w:rsidRPr="009D7A51">
        <w:tab/>
        <w:t>Include the obstetrical record related to the current pregnancy; and</w:t>
      </w:r>
    </w:p>
    <w:p w14:paraId="31AC5E4C" w14:textId="77777777" w:rsidR="00C40517" w:rsidRPr="009D7A51" w:rsidRDefault="00C40517" w:rsidP="00C40517">
      <w:pPr>
        <w:pStyle w:val="cletteredindent"/>
      </w:pPr>
      <w:r w:rsidRPr="009D7A51">
        <w:t>g.</w:t>
      </w:r>
      <w:r w:rsidRPr="009D7A51">
        <w:tab/>
        <w:t>Include clinical indication for diagnostic laboratory and radiology/other services ordered with a copy of orders for diagnostic laboratory and radiology/other services signed by the physician.</w:t>
      </w:r>
    </w:p>
    <w:p w14:paraId="3CAA61CD" w14:textId="77777777" w:rsidR="00C40517" w:rsidRPr="009D7A51" w:rsidRDefault="00C40517" w:rsidP="00C40517">
      <w:pPr>
        <w:pStyle w:val="cnumbered"/>
      </w:pPr>
      <w:r w:rsidRPr="009D7A51">
        <w:t>2.</w:t>
      </w:r>
      <w:r w:rsidRPr="009D7A51">
        <w:tab/>
        <w:t>Diagnostic laboratory and radiology/other reports must include:</w:t>
      </w:r>
    </w:p>
    <w:p w14:paraId="6F76C74B" w14:textId="77777777" w:rsidR="00C40517" w:rsidRPr="009D7A51" w:rsidRDefault="00C40517" w:rsidP="00C40517">
      <w:pPr>
        <w:pStyle w:val="cletteredindent"/>
      </w:pPr>
      <w:r w:rsidRPr="009D7A51">
        <w:t>a.</w:t>
      </w:r>
      <w:r w:rsidRPr="009D7A51">
        <w:tab/>
        <w:t xml:space="preserve">Clinical indication for diagnostic laboratory and radiology/other services </w:t>
      </w:r>
      <w:proofErr w:type="gramStart"/>
      <w:r w:rsidRPr="009D7A51">
        <w:t>ordered;</w:t>
      </w:r>
      <w:proofErr w:type="gramEnd"/>
    </w:p>
    <w:p w14:paraId="3AC86F93" w14:textId="77777777" w:rsidR="00C40517" w:rsidRPr="009D7A51" w:rsidRDefault="00C40517" w:rsidP="00C40517">
      <w:pPr>
        <w:pStyle w:val="cletteredindent"/>
      </w:pPr>
      <w:r w:rsidRPr="009D7A51">
        <w:t>b.</w:t>
      </w:r>
      <w:r w:rsidRPr="009D7A51">
        <w:tab/>
        <w:t xml:space="preserve">Signed orders for diagnostic laboratory and radiology/other </w:t>
      </w:r>
      <w:proofErr w:type="gramStart"/>
      <w:r w:rsidRPr="009D7A51">
        <w:t>services;</w:t>
      </w:r>
      <w:proofErr w:type="gramEnd"/>
    </w:p>
    <w:p w14:paraId="366D2076" w14:textId="77777777" w:rsidR="00C40517" w:rsidRPr="009D7A51" w:rsidRDefault="00C40517" w:rsidP="00C40517">
      <w:pPr>
        <w:pStyle w:val="cletteredindent"/>
      </w:pPr>
      <w:r w:rsidRPr="009D7A51">
        <w:t>c.</w:t>
      </w:r>
      <w:r w:rsidRPr="009D7A51">
        <w:tab/>
        <w:t>Results signed by performing provider; and</w:t>
      </w:r>
    </w:p>
    <w:p w14:paraId="13832257" w14:textId="77777777" w:rsidR="00A86B89" w:rsidRPr="009D7A51" w:rsidRDefault="00C40517" w:rsidP="00C40517">
      <w:pPr>
        <w:pStyle w:val="cletteredindent"/>
      </w:pPr>
      <w:r w:rsidRPr="009D7A51">
        <w:t>d.</w:t>
      </w:r>
      <w:r w:rsidRPr="009D7A51">
        <w:tab/>
        <w:t>Current and all previous ultrasound reports, including biophysical profiles and fetal non-stress tests.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D7A51" w:rsidRPr="009D7A51" w14:paraId="2062CDE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8C9246C" w14:textId="2096A580" w:rsidR="009D7A51" w:rsidRPr="009D7A51" w:rsidRDefault="009D7A51" w:rsidP="009D7A51">
            <w:pPr>
              <w:pStyle w:val="chead2"/>
            </w:pPr>
            <w:bookmarkStart w:id="76" w:name="_Toc24252749"/>
            <w:bookmarkStart w:id="77" w:name="_Toc199331881"/>
            <w:r w:rsidRPr="009C2FD2">
              <w:t>216.230</w:t>
            </w:r>
            <w:r w:rsidRPr="009C2FD2">
              <w:tab/>
              <w:t xml:space="preserve">Administrative Reconsideration </w:t>
            </w:r>
            <w:r w:rsidRPr="00845BFF">
              <w:rPr>
                <w:highlight w:val="yellow"/>
              </w:rPr>
              <w:t>and Appeals</w:t>
            </w:r>
            <w:bookmarkEnd w:id="77"/>
          </w:p>
        </w:tc>
        <w:tc>
          <w:tcPr>
            <w:tcW w:w="1238" w:type="dxa"/>
            <w:tcBorders>
              <w:top w:val="single" w:sz="2" w:space="0" w:color="FFFFFF"/>
              <w:left w:val="single" w:sz="6" w:space="0" w:color="FFFFFF"/>
              <w:bottom w:val="single" w:sz="2" w:space="0" w:color="FFFFFF"/>
              <w:right w:val="single" w:sz="2" w:space="0" w:color="FFFFFF"/>
            </w:tcBorders>
          </w:tcPr>
          <w:p w14:paraId="4786FB48" w14:textId="1A932F01" w:rsidR="009D7A51" w:rsidRPr="009D7A51" w:rsidRDefault="009D7A51" w:rsidP="009D7A51">
            <w:pPr>
              <w:pStyle w:val="cDate2"/>
            </w:pPr>
            <w:r>
              <w:t>6-1-25</w:t>
            </w:r>
          </w:p>
        </w:tc>
      </w:tr>
    </w:tbl>
    <w:p w14:paraId="51047D74" w14:textId="77777777" w:rsidR="009D7A51" w:rsidRPr="00845BFF" w:rsidRDefault="009D7A51" w:rsidP="009D7A51">
      <w:pPr>
        <w:pStyle w:val="CLETTERED"/>
        <w:rPr>
          <w:highlight w:val="yellow"/>
        </w:rPr>
      </w:pPr>
      <w:r w:rsidRPr="00845BFF">
        <w:rPr>
          <w:highlight w:val="yellow"/>
        </w:rPr>
        <w:t>A.</w:t>
      </w:r>
      <w:r w:rsidRPr="00845BFF">
        <w:rPr>
          <w:highlight w:val="yellow"/>
        </w:rPr>
        <w:tab/>
        <w:t>Medicaid allows only one</w:t>
      </w:r>
      <w:r>
        <w:rPr>
          <w:highlight w:val="yellow"/>
        </w:rPr>
        <w:t xml:space="preserve"> (1)</w:t>
      </w:r>
      <w:r w:rsidRPr="00845BFF">
        <w:rPr>
          <w:highlight w:val="yellow"/>
        </w:rPr>
        <w:t xml:space="preserve"> reconsideration of an adverse decision. Reconsideration requests must be submitted in accordance with Section 160.000 of Section I of this Manual.</w:t>
      </w:r>
    </w:p>
    <w:p w14:paraId="55BF5986" w14:textId="5E5D616A" w:rsidR="00241E13" w:rsidRPr="009D7A51" w:rsidRDefault="009D7A51" w:rsidP="009D7A51">
      <w:pPr>
        <w:pStyle w:val="CLETTERED"/>
      </w:pPr>
      <w:r w:rsidRPr="00845BFF">
        <w:rPr>
          <w:highlight w:val="yellow"/>
        </w:rPr>
        <w:t>B.</w:t>
      </w:r>
      <w:r w:rsidRPr="00845BFF">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D7A51" w:rsidRPr="009D7A51" w14:paraId="58F4C97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8DA44CB" w14:textId="3B3E8887" w:rsidR="009D7A51" w:rsidRPr="009D7A51" w:rsidRDefault="009D7A51" w:rsidP="009D7A51">
            <w:pPr>
              <w:pStyle w:val="chead2"/>
            </w:pPr>
            <w:bookmarkStart w:id="78" w:name="_Toc121621920"/>
            <w:bookmarkStart w:id="79" w:name="_Toc199331882"/>
            <w:r w:rsidRPr="009C2FD2">
              <w:lastRenderedPageBreak/>
              <w:t>216.240</w:t>
            </w:r>
            <w:r w:rsidRPr="009C2FD2">
              <w:tab/>
            </w:r>
            <w:bookmarkEnd w:id="78"/>
            <w:r w:rsidRPr="00845BFF">
              <w:rPr>
                <w:highlight w:val="yellow"/>
              </w:rPr>
              <w:t>Reserved</w:t>
            </w:r>
            <w:bookmarkEnd w:id="79"/>
          </w:p>
        </w:tc>
        <w:tc>
          <w:tcPr>
            <w:tcW w:w="1238" w:type="dxa"/>
            <w:tcBorders>
              <w:top w:val="single" w:sz="2" w:space="0" w:color="FFFFFF"/>
              <w:left w:val="single" w:sz="6" w:space="0" w:color="FFFFFF"/>
              <w:bottom w:val="single" w:sz="2" w:space="0" w:color="FFFFFF"/>
              <w:right w:val="single" w:sz="2" w:space="0" w:color="FFFFFF"/>
            </w:tcBorders>
          </w:tcPr>
          <w:p w14:paraId="588DF4CA" w14:textId="03DA10BA" w:rsidR="009D7A51" w:rsidRPr="009D7A51" w:rsidRDefault="009D7A51" w:rsidP="009D7A51">
            <w:pPr>
              <w:pStyle w:val="cDate2"/>
            </w:pPr>
            <w:r>
              <w:t>6-1-25</w:t>
            </w:r>
          </w:p>
        </w:tc>
      </w:tr>
      <w:tr w:rsidR="00B97028" w:rsidRPr="009D7A51" w14:paraId="3C7972DC" w14:textId="77777777" w:rsidTr="00E93CE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7E3E8D" w14:textId="77777777" w:rsidR="00B97028" w:rsidRPr="009D7A51" w:rsidRDefault="00B97028" w:rsidP="00E93CE3">
            <w:pPr>
              <w:pStyle w:val="chead2"/>
            </w:pPr>
            <w:bookmarkStart w:id="80" w:name="_Toc24252750"/>
            <w:bookmarkStart w:id="81" w:name="_Toc199331883"/>
            <w:bookmarkEnd w:id="76"/>
            <w:r w:rsidRPr="009D7A51">
              <w:t>216.300</w:t>
            </w:r>
            <w:bookmarkStart w:id="82" w:name="_Toc144104965"/>
            <w:bookmarkStart w:id="83" w:name="_Toc231204064"/>
            <w:r w:rsidRPr="009D7A51">
              <w:tab/>
              <w:t>Prescription Drugs</w:t>
            </w:r>
            <w:bookmarkEnd w:id="82"/>
            <w:bookmarkEnd w:id="83"/>
            <w:bookmarkEnd w:id="81"/>
          </w:p>
        </w:tc>
        <w:tc>
          <w:tcPr>
            <w:tcW w:w="1238" w:type="dxa"/>
            <w:tcBorders>
              <w:top w:val="single" w:sz="2" w:space="0" w:color="FFFFFF"/>
              <w:left w:val="single" w:sz="6" w:space="0" w:color="FFFFFF"/>
              <w:bottom w:val="single" w:sz="2" w:space="0" w:color="FFFFFF"/>
              <w:right w:val="single" w:sz="2" w:space="0" w:color="FFFFFF"/>
            </w:tcBorders>
          </w:tcPr>
          <w:p w14:paraId="7132948A" w14:textId="77777777" w:rsidR="00B97028" w:rsidRPr="009D7A51" w:rsidRDefault="0044476F" w:rsidP="00E93CE3">
            <w:pPr>
              <w:pStyle w:val="cDate2"/>
            </w:pPr>
            <w:r w:rsidRPr="009D7A51">
              <w:t>8-1-21</w:t>
            </w:r>
          </w:p>
        </w:tc>
      </w:tr>
    </w:tbl>
    <w:p w14:paraId="1A383E29" w14:textId="77777777" w:rsidR="00B97028" w:rsidRPr="009D7A51" w:rsidRDefault="00B97028" w:rsidP="00B97028">
      <w:pPr>
        <w:pStyle w:val="ctext"/>
        <w:rPr>
          <w:b/>
        </w:rPr>
      </w:pPr>
      <w:r w:rsidRPr="009D7A51">
        <w:rPr>
          <w:b/>
        </w:rPr>
        <w:t>PRESCRIPTION DRUG INFORMATION</w:t>
      </w:r>
    </w:p>
    <w:p w14:paraId="7AB5755F" w14:textId="77777777" w:rsidR="0044476F" w:rsidRPr="009D7A51" w:rsidRDefault="0044476F" w:rsidP="0044476F">
      <w:pPr>
        <w:pStyle w:val="ctext"/>
      </w:pPr>
      <w:r w:rsidRPr="009D7A51">
        <w:t xml:space="preserve">Act 186 of 1997 authorizes optometrists to prescribe and administer both oral and topical drugs for the diagnosis and treatment only of conditions of the eye, lids, </w:t>
      </w:r>
      <w:proofErr w:type="gramStart"/>
      <w:r w:rsidRPr="009D7A51">
        <w:t>adnexa</w:t>
      </w:r>
      <w:proofErr w:type="gramEnd"/>
      <w:r w:rsidRPr="009D7A51">
        <w:t xml:space="preserve"> or visual system, except for those drugs listed in Schedules I and II of the Uniform Controlled Substance Act.  They can also prescribe and administer epinephrine, Benadryl</w:t>
      </w:r>
      <w:proofErr w:type="gramStart"/>
      <w:r w:rsidRPr="009D7A51">
        <w:t>®</w:t>
      </w:r>
      <w:proofErr w:type="gramEnd"/>
      <w:r w:rsidRPr="009D7A51">
        <w:t xml:space="preserve"> or other comparable medication for the emergency treatment of anaphylaxis or anaphylactic reactions.</w:t>
      </w:r>
    </w:p>
    <w:p w14:paraId="1E64AC7C" w14:textId="77777777" w:rsidR="0044476F" w:rsidRPr="009D7A51" w:rsidRDefault="0044476F" w:rsidP="0044476F">
      <w:pPr>
        <w:pStyle w:val="ctext"/>
        <w:rPr>
          <w:b/>
        </w:rPr>
      </w:pPr>
      <w:r w:rsidRPr="009D7A51">
        <w:t xml:space="preserve">Medicaid covers prescription drugs in accordance with policies and regulations set forth in this section and pursuant to orders (prescriptions) from authorized prescribers. The Arkansas Medicaid Program complies with the Medicaid Prudent Pharmaceutical Purchasing Program (MPPPP) that was enacted as part of the Omnibus Budget Reconciliation Act (OBRA) of 1990.  </w:t>
      </w:r>
      <w:r w:rsidRPr="009D7A51">
        <w:rPr>
          <w:b/>
        </w:rPr>
        <w:t>This law requires Medicaid to limit coverage to drugs manufactured by pharmaceutical companies that have signed rebate agreements.</w:t>
      </w:r>
      <w:r w:rsidRPr="009D7A51">
        <w:t xml:space="preserve">  A numeric listing of approved pharmaceutical companies and their respective vendors is located on the DHS or designated Pharmacy vendor website.  </w:t>
      </w:r>
      <w:hyperlink r:id="rId30" w:history="1">
        <w:r w:rsidRPr="009D7A51">
          <w:rPr>
            <w:rStyle w:val="Hyperlink"/>
          </w:rPr>
          <w:t>View or print numeric listing of approved pharmaceutical companies and their respective labeler codes.</w:t>
        </w:r>
      </w:hyperlink>
      <w:r w:rsidRPr="009D7A51">
        <w:t xml:space="preserve">  Except for drugs in the categories excluded from coverage, Arkansas Medicaid covers all drug products manufactured by companies with listed labeler codes.</w:t>
      </w:r>
    </w:p>
    <w:p w14:paraId="1739C4FA" w14:textId="08C9DF3E" w:rsidR="0044476F" w:rsidRPr="009D7A51" w:rsidRDefault="0044476F" w:rsidP="0044476F">
      <w:pPr>
        <w:pStyle w:val="ctext"/>
      </w:pPr>
      <w:hyperlink r:id="rId31" w:history="1">
        <w:r w:rsidRPr="009D7A51">
          <w:rPr>
            <w:rStyle w:val="Hyperlink"/>
          </w:rPr>
          <w:t>For prescription drug prior authorization concerns or the latest information regarding prescription drug coverage, providers may visit the Prescription Drug PA Help Desk.</w:t>
        </w:r>
      </w:hyperlink>
    </w:p>
    <w:p w14:paraId="1E465994" w14:textId="025F227D" w:rsidR="009D64EA" w:rsidRPr="009D7A51" w:rsidRDefault="0044476F" w:rsidP="00B97028">
      <w:pPr>
        <w:pStyle w:val="ctext"/>
      </w:pPr>
      <w:hyperlink r:id="rId32" w:history="1">
        <w:r w:rsidRPr="009D7A51">
          <w:rPr>
            <w:rStyle w:val="Hyperlink"/>
          </w:rPr>
          <w:t>For questions regarding the Evidence-Based Prescription Drug Program or to request an override for non-preferred drugs, prescribers may contact the DHS Contracted Pharmacy Vendor Help Desk.</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D4394" w:rsidRPr="009D7A51" w14:paraId="6014B64F" w14:textId="77777777" w:rsidTr="00271D9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BE7436F" w14:textId="77777777" w:rsidR="001D4394" w:rsidRPr="009D7A51" w:rsidRDefault="001D4394" w:rsidP="00271D92">
            <w:pPr>
              <w:pStyle w:val="chead2"/>
            </w:pPr>
            <w:bookmarkStart w:id="84" w:name="_Toc199331884"/>
            <w:r w:rsidRPr="009D7A51">
              <w:t>216.301</w:t>
            </w:r>
            <w:r w:rsidRPr="009D7A51">
              <w:tab/>
              <w:t>Tamper Resistant Prescription Applications</w:t>
            </w:r>
            <w:bookmarkEnd w:id="84"/>
          </w:p>
        </w:tc>
        <w:tc>
          <w:tcPr>
            <w:tcW w:w="1238" w:type="dxa"/>
            <w:tcBorders>
              <w:top w:val="single" w:sz="2" w:space="0" w:color="FFFFFF"/>
              <w:left w:val="single" w:sz="6" w:space="0" w:color="FFFFFF"/>
              <w:bottom w:val="single" w:sz="2" w:space="0" w:color="FFFFFF"/>
              <w:right w:val="single" w:sz="2" w:space="0" w:color="FFFFFF"/>
            </w:tcBorders>
          </w:tcPr>
          <w:p w14:paraId="4212A36F" w14:textId="77777777" w:rsidR="001D4394" w:rsidRPr="009D7A51" w:rsidRDefault="001D4394" w:rsidP="00271D92">
            <w:pPr>
              <w:pStyle w:val="cDate2"/>
            </w:pPr>
            <w:r w:rsidRPr="009D7A51">
              <w:t>2-6-17</w:t>
            </w:r>
          </w:p>
        </w:tc>
      </w:tr>
    </w:tbl>
    <w:p w14:paraId="15A2DE80" w14:textId="77777777" w:rsidR="001D4394" w:rsidRPr="009D7A51" w:rsidRDefault="001D4394" w:rsidP="001D4394">
      <w:pPr>
        <w:pStyle w:val="ctext"/>
      </w:pPr>
      <w:r w:rsidRPr="009D7A51">
        <w:t>Section 7002(b), which amends section 1903(i) of the Social Security Act (the Act) (42 U.S.C. section 1936b(</w:t>
      </w:r>
      <w:proofErr w:type="spellStart"/>
      <w:r w:rsidRPr="009D7A51">
        <w:t>i</w:t>
      </w:r>
      <w:proofErr w:type="spellEnd"/>
      <w:r w:rsidRPr="009D7A51">
        <w:t>)) by adding new paragraph (23), states that payment shall not be made for “. . . amounts expended for medical assistance for covered outpatient drugs (as defined in section 1927(k)(2) for which the prescription was executed in written (and non-electronic) form unless the prescription was executed on a tamper-resistant pad.”  This provision becomes effective on October 1, 2007.  The tamper-resistant pad requirement of section 7002(b) applies to all outpatient drugs, including over-the-counter drugs in States that reimburse for prescriptions for such items.  Section 1927(k)(3) of the Act provides exceptions to section 1927(k)(2) for drugs provided in nursing facilities, intermediate care facilities for individuals with intellectual disabilities, and other specified institutional and clinical settings.  Such drugs in these settings (to the extent that they are not separately reimbursed) are exceptions to section 1927(k)(2), and, therefore, are not subject to the tamper-resistant pad requirement of section 7002(b).  Section 7002(b) is applicable regardless of whether Medicaid is the primary or secondary payer of the prescription being filled.</w:t>
      </w:r>
    </w:p>
    <w:p w14:paraId="243E9A43" w14:textId="77777777" w:rsidR="001D4394" w:rsidRPr="009D7A51" w:rsidRDefault="001D4394" w:rsidP="001D4394">
      <w:pPr>
        <w:pStyle w:val="ctext"/>
      </w:pPr>
      <w:r w:rsidRPr="009D7A51">
        <w:t>See the CMS website for technical information:</w:t>
      </w:r>
    </w:p>
    <w:p w14:paraId="10B0B3F1" w14:textId="77777777" w:rsidR="001D4394" w:rsidRPr="009D7A51" w:rsidRDefault="001D4394" w:rsidP="001D4394">
      <w:pPr>
        <w:pStyle w:val="ctext"/>
        <w:rPr>
          <w:rStyle w:val="Hyperlink"/>
        </w:rPr>
      </w:pPr>
      <w:hyperlink r:id="rId33" w:history="1">
        <w:r w:rsidRPr="009D7A51">
          <w:rPr>
            <w:rStyle w:val="Hyperlink"/>
          </w:rPr>
          <w:t>https://www.cms.gov/Medicare-Medicaid-Coordination/Fraud-Prevention/FraudAbuseforProfs/TRP.html</w:t>
        </w:r>
      </w:hyperlink>
    </w:p>
    <w:p w14:paraId="65F3CF7C" w14:textId="77777777" w:rsidR="001D4394" w:rsidRPr="009D7A51" w:rsidRDefault="001D4394" w:rsidP="001D4394">
      <w:pPr>
        <w:pStyle w:val="ctext"/>
      </w:pPr>
      <w:r w:rsidRPr="009D7A51">
        <w:t xml:space="preserve">Regardless of whether Medicaid is the primary or secondary payer of the prescription being </w:t>
      </w:r>
      <w:proofErr w:type="gramStart"/>
      <w:r w:rsidRPr="009D7A51">
        <w:t>filled,</w:t>
      </w:r>
      <w:proofErr w:type="gramEnd"/>
      <w:r w:rsidRPr="009D7A51">
        <w:t xml:space="preserve"> this rule applies to all non-electronic Medicaid-covered outpatient drugs except:</w:t>
      </w:r>
    </w:p>
    <w:p w14:paraId="556BA4F5" w14:textId="77777777" w:rsidR="001D4394" w:rsidRPr="009D7A51" w:rsidRDefault="001D4394" w:rsidP="001D4394">
      <w:pPr>
        <w:pStyle w:val="CLETTERED"/>
      </w:pPr>
      <w:r w:rsidRPr="009D7A51">
        <w:t>1.</w:t>
      </w:r>
      <w:r w:rsidRPr="009D7A51">
        <w:tab/>
        <w:t xml:space="preserve">Emergency fills of non-controlled or controlled dangerous substances for which a prescriber provides the pharmacy with a verbal, faxed, electronic or compliant written prescription within 72 hours after the date on which the prescription was </w:t>
      </w:r>
      <w:proofErr w:type="gramStart"/>
      <w:r w:rsidRPr="009D7A51">
        <w:t>filled;</w:t>
      </w:r>
      <w:proofErr w:type="gramEnd"/>
    </w:p>
    <w:p w14:paraId="1DA42DD6" w14:textId="77777777" w:rsidR="001D4394" w:rsidRPr="009D7A51" w:rsidRDefault="001D4394" w:rsidP="001D4394">
      <w:pPr>
        <w:pStyle w:val="CLETTERED"/>
      </w:pPr>
      <w:r w:rsidRPr="009D7A51">
        <w:lastRenderedPageBreak/>
        <w:t>2.</w:t>
      </w:r>
      <w:r w:rsidRPr="009D7A51">
        <w:tab/>
        <w:t xml:space="preserve">Drugs provided in nursing facilities, intermediate care facilities for individuals with intellectual disabilities and other </w:t>
      </w:r>
      <w:proofErr w:type="gramStart"/>
      <w:r w:rsidRPr="009D7A51">
        <w:t>federally-specified</w:t>
      </w:r>
      <w:proofErr w:type="gramEnd"/>
      <w:r w:rsidRPr="009D7A51">
        <w:t xml:space="preserve"> institutional and clinical settings so long as those drugs are not billed separately to Medicaid, for example, those billed by an individual pharmacy provider.</w:t>
      </w:r>
    </w:p>
    <w:p w14:paraId="3E7F349F" w14:textId="77777777" w:rsidR="001D4394" w:rsidRPr="009D7A51" w:rsidRDefault="001D4394" w:rsidP="001D4394">
      <w:pPr>
        <w:pStyle w:val="ctext"/>
      </w:pPr>
      <w:r w:rsidRPr="009D7A51">
        <w:t>For purposes of this rule, “electronic prescriptions” include e-prescriptions transmitted to the pharmacy, prescriptions faxed to the pharmacy or prescriptions communicated to the pharmacy by telephone by a prescriber.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B30F8" w:rsidRPr="009D7A51" w14:paraId="408E3F52" w14:textId="77777777" w:rsidTr="003F7C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1129559" w14:textId="77777777" w:rsidR="002B30F8" w:rsidRPr="009D7A51" w:rsidRDefault="002B30F8" w:rsidP="003F7CE0">
            <w:pPr>
              <w:pStyle w:val="chead2"/>
            </w:pPr>
            <w:bookmarkStart w:id="85" w:name="_Toc267399407"/>
            <w:bookmarkStart w:id="86" w:name="_Toc199331885"/>
            <w:r w:rsidRPr="009D7A51">
              <w:t>217.000</w:t>
            </w:r>
            <w:r w:rsidRPr="009D7A51">
              <w:tab/>
            </w:r>
            <w:bookmarkEnd w:id="85"/>
            <w:r w:rsidRPr="009D7A51">
              <w:t>Electronic Signatures</w:t>
            </w:r>
            <w:bookmarkEnd w:id="86"/>
            <w:r w:rsidRPr="009D7A5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0F84C27" w14:textId="77777777" w:rsidR="002B30F8" w:rsidRPr="009D7A51" w:rsidRDefault="002B30F8" w:rsidP="003F7CE0">
            <w:pPr>
              <w:pStyle w:val="cDate2"/>
            </w:pPr>
            <w:r w:rsidRPr="009D7A51">
              <w:t>10-8-10</w:t>
            </w:r>
          </w:p>
        </w:tc>
      </w:tr>
    </w:tbl>
    <w:p w14:paraId="2C200DBF" w14:textId="77777777" w:rsidR="002B30F8" w:rsidRPr="009D7A51" w:rsidRDefault="002B30F8" w:rsidP="002B30F8">
      <w:pPr>
        <w:pStyle w:val="ctext"/>
        <w:rPr>
          <w:rFonts w:eastAsia="Calibri"/>
          <w:szCs w:val="21"/>
        </w:rPr>
      </w:pPr>
      <w:r w:rsidRPr="009D7A51">
        <w:t xml:space="preserve">Medicaid will accept electronic signatures provided the electronic signatures comply with </w:t>
      </w:r>
      <w:r w:rsidR="00387927" w:rsidRPr="009D7A51">
        <w:t>Arkansas Code § 25-31-103 et seq</w:t>
      </w:r>
      <w:r w:rsidRPr="009D7A51">
        <w:t>.</w:t>
      </w:r>
    </w:p>
    <w:p w14:paraId="64BC33DF" w14:textId="77777777" w:rsidR="00E30B39" w:rsidRPr="009D7A51" w:rsidRDefault="00E30B39" w:rsidP="002B30F8">
      <w:pPr>
        <w:pStyle w:val="ctablespace"/>
      </w:pPr>
    </w:p>
    <w:tbl>
      <w:tblPr>
        <w:tblW w:w="9360" w:type="dxa"/>
        <w:tblLook w:val="0000" w:firstRow="0" w:lastRow="0" w:firstColumn="0" w:lastColumn="0" w:noHBand="0" w:noVBand="0"/>
      </w:tblPr>
      <w:tblGrid>
        <w:gridCol w:w="8122"/>
        <w:gridCol w:w="1238"/>
      </w:tblGrid>
      <w:tr w:rsidR="0085484F" w:rsidRPr="009D7A51" w14:paraId="3B746B32" w14:textId="77777777" w:rsidTr="0017242B">
        <w:tblPrEx>
          <w:tblCellMar>
            <w:top w:w="0" w:type="dxa"/>
            <w:bottom w:w="0" w:type="dxa"/>
          </w:tblCellMar>
        </w:tblPrEx>
        <w:trPr>
          <w:cantSplit/>
        </w:trPr>
        <w:tc>
          <w:tcPr>
            <w:tcW w:w="8122" w:type="dxa"/>
            <w:shd w:val="clear" w:color="auto" w:fill="1D73D6"/>
          </w:tcPr>
          <w:p w14:paraId="231EE9E6" w14:textId="77777777" w:rsidR="0085484F" w:rsidRPr="009D7A51" w:rsidRDefault="0085484F">
            <w:pPr>
              <w:pStyle w:val="chead1"/>
            </w:pPr>
            <w:bookmarkStart w:id="87" w:name="_Toc199331886"/>
            <w:r w:rsidRPr="009D7A51">
              <w:t>220.000</w:t>
            </w:r>
            <w:r w:rsidRPr="009D7A51">
              <w:tab/>
              <w:t>PRIOR AUTHORIZATION</w:t>
            </w:r>
            <w:bookmarkEnd w:id="80"/>
            <w:bookmarkEnd w:id="87"/>
          </w:p>
        </w:tc>
        <w:tc>
          <w:tcPr>
            <w:tcW w:w="1238" w:type="dxa"/>
            <w:shd w:val="clear" w:color="auto" w:fill="1D73D6"/>
            <w:vAlign w:val="center"/>
          </w:tcPr>
          <w:p w14:paraId="73FFE801" w14:textId="77777777" w:rsidR="0085484F" w:rsidRPr="009D7A51" w:rsidRDefault="0085484F">
            <w:pPr>
              <w:pStyle w:val="cDate1"/>
              <w:rPr>
                <w:bCs/>
              </w:rPr>
            </w:pPr>
          </w:p>
        </w:tc>
      </w:tr>
      <w:tr w:rsidR="00E510CE" w:rsidRPr="009D7A51" w14:paraId="2B7A673E" w14:textId="77777777" w:rsidTr="00C02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7C412850" w14:textId="77777777" w:rsidR="00E510CE" w:rsidRPr="009D7A51" w:rsidRDefault="00E510CE" w:rsidP="00C02621">
            <w:pPr>
              <w:pStyle w:val="chead2"/>
            </w:pPr>
            <w:bookmarkStart w:id="88" w:name="_Toc24252751"/>
            <w:bookmarkStart w:id="89" w:name="_Toc441058305"/>
            <w:bookmarkStart w:id="90" w:name="_Toc199331887"/>
            <w:r w:rsidRPr="009D7A51">
              <w:t>221.000</w:t>
            </w:r>
            <w:r w:rsidRPr="009D7A51">
              <w:tab/>
              <w:t>How to Obtain Prior Authorization</w:t>
            </w:r>
            <w:bookmarkEnd w:id="88"/>
            <w:bookmarkEnd w:id="89"/>
            <w:bookmarkEnd w:id="90"/>
          </w:p>
        </w:tc>
        <w:tc>
          <w:tcPr>
            <w:tcW w:w="1238" w:type="dxa"/>
            <w:tcBorders>
              <w:top w:val="nil"/>
              <w:left w:val="single" w:sz="6" w:space="0" w:color="FFFFFF"/>
              <w:bottom w:val="single" w:sz="2" w:space="0" w:color="FFFFFF"/>
              <w:right w:val="single" w:sz="2" w:space="0" w:color="FFFFFF"/>
            </w:tcBorders>
          </w:tcPr>
          <w:p w14:paraId="6AB48C61" w14:textId="77777777" w:rsidR="00E510CE" w:rsidRPr="009D7A51" w:rsidRDefault="00E510CE" w:rsidP="00C02621">
            <w:pPr>
              <w:pStyle w:val="cDate2"/>
            </w:pPr>
            <w:r w:rsidRPr="009D7A51">
              <w:t>7-1-17</w:t>
            </w:r>
          </w:p>
        </w:tc>
      </w:tr>
    </w:tbl>
    <w:p w14:paraId="11D76E9F" w14:textId="77777777" w:rsidR="00E510CE" w:rsidRPr="009D7A51" w:rsidRDefault="00E510CE" w:rsidP="00E510CE">
      <w:pPr>
        <w:pStyle w:val="ctext"/>
      </w:pPr>
      <w:r w:rsidRPr="009D7A51">
        <w:t>To obtain prior authorization to provide services not ordinarily covered, the provider must submit in writing a brief, yet descriptive, account of the services requested and, if possible, the procedure code to be used when billing.  All supportive information available should be submitted.</w:t>
      </w:r>
    </w:p>
    <w:p w14:paraId="10BB8CFA" w14:textId="0A3B580A" w:rsidR="00E510CE" w:rsidRPr="009D7A51" w:rsidRDefault="00E510CE" w:rsidP="00E510CE">
      <w:pPr>
        <w:pStyle w:val="ctext"/>
      </w:pPr>
      <w:r w:rsidRPr="009D7A51">
        <w:t xml:space="preserve">Send all requests for prior authorization to the Division of Medical Services, Medical Assistance Unit.  </w:t>
      </w:r>
      <w:r w:rsidRPr="009D7A51">
        <w:rPr>
          <w:rStyle w:val="Hyperlink"/>
        </w:rPr>
        <w:fldChar w:fldCharType="begin"/>
      </w:r>
      <w:r w:rsidR="009821BD">
        <w:rPr>
          <w:rStyle w:val="Hyperlink"/>
        </w:rPr>
        <w:instrText>HYPERLINK "https://humanservices.arkansas.gov/wp-content/uploads/DMSMedAsst.docx"</w:instrText>
      </w:r>
      <w:r w:rsidR="009821BD" w:rsidRPr="009D7A51">
        <w:rPr>
          <w:rStyle w:val="Hyperlink"/>
        </w:rPr>
      </w:r>
      <w:r w:rsidRPr="009D7A51">
        <w:rPr>
          <w:rStyle w:val="Hyperlink"/>
        </w:rPr>
        <w:fldChar w:fldCharType="separate"/>
      </w:r>
      <w:r w:rsidRPr="009D7A51">
        <w:rPr>
          <w:rStyle w:val="Hyperlink"/>
        </w:rPr>
        <w:t xml:space="preserve">View </w:t>
      </w:r>
      <w:r w:rsidRPr="009D7A51">
        <w:rPr>
          <w:rStyle w:val="Hyperlink"/>
        </w:rPr>
        <w:t>o</w:t>
      </w:r>
      <w:r w:rsidRPr="009D7A51">
        <w:rPr>
          <w:rStyle w:val="Hyperlink"/>
        </w:rPr>
        <w:t xml:space="preserve">r print </w:t>
      </w:r>
      <w:r w:rsidRPr="009D7A51">
        <w:rPr>
          <w:rStyle w:val="Hyperlink"/>
        </w:rPr>
        <w:t>D</w:t>
      </w:r>
      <w:r w:rsidRPr="009D7A51">
        <w:rPr>
          <w:rStyle w:val="Hyperlink"/>
        </w:rPr>
        <w:t>ivis</w:t>
      </w:r>
      <w:r w:rsidRPr="009D7A51">
        <w:rPr>
          <w:rStyle w:val="Hyperlink"/>
        </w:rPr>
        <w:t>i</w:t>
      </w:r>
      <w:r w:rsidRPr="009D7A51">
        <w:rPr>
          <w:rStyle w:val="Hyperlink"/>
        </w:rPr>
        <w:t>on of Medical Ser</w:t>
      </w:r>
      <w:r w:rsidRPr="009D7A51">
        <w:rPr>
          <w:rStyle w:val="Hyperlink"/>
        </w:rPr>
        <w:t>v</w:t>
      </w:r>
      <w:r w:rsidRPr="009D7A51">
        <w:rPr>
          <w:rStyle w:val="Hyperlink"/>
        </w:rPr>
        <w:t>ice</w:t>
      </w:r>
      <w:r w:rsidRPr="009D7A51">
        <w:rPr>
          <w:rStyle w:val="Hyperlink"/>
        </w:rPr>
        <w:t>s</w:t>
      </w:r>
      <w:r w:rsidRPr="009D7A51">
        <w:rPr>
          <w:rStyle w:val="Hyperlink"/>
        </w:rPr>
        <w:t>, Medical Assistance Unit c</w:t>
      </w:r>
      <w:r w:rsidRPr="009D7A51">
        <w:rPr>
          <w:rStyle w:val="Hyperlink"/>
        </w:rPr>
        <w:t>o</w:t>
      </w:r>
      <w:r w:rsidRPr="009D7A51">
        <w:rPr>
          <w:rStyle w:val="Hyperlink"/>
        </w:rPr>
        <w:t>ntact information</w:t>
      </w:r>
      <w:r w:rsidRPr="009D7A51">
        <w:rPr>
          <w:rStyle w:val="Hyperlink"/>
        </w:rPr>
        <w:fldChar w:fldCharType="end"/>
      </w:r>
      <w:r w:rsidRPr="009D7A51">
        <w:t>.</w:t>
      </w:r>
    </w:p>
    <w:p w14:paraId="061C03AD" w14:textId="77777777" w:rsidR="00E510CE" w:rsidRPr="009D7A51" w:rsidRDefault="00E510CE" w:rsidP="00E510CE">
      <w:pPr>
        <w:pStyle w:val="ctext"/>
      </w:pPr>
      <w:r w:rsidRPr="009D7A51">
        <w:t>All requests for prior authorization will be reviewed by the visual care consultants.  All or part of the services requested may be approved.  Approval or denial of the services requested will be given in writing.  In no event will prior authorization be given over the telephone.</w:t>
      </w:r>
    </w:p>
    <w:p w14:paraId="7BC5C7CE" w14:textId="77777777" w:rsidR="00E510CE" w:rsidRPr="009D7A51" w:rsidRDefault="00E510CE" w:rsidP="00E510CE">
      <w:pPr>
        <w:pStyle w:val="ctext"/>
      </w:pPr>
      <w:r w:rsidRPr="009D7A51">
        <w:t>The approval of the request for prior authorization will be signed by the visual care consultants or authorized personnel and assigned a prior authorization control number.  The prior authorization control number must be indicated on the claim.</w:t>
      </w:r>
    </w:p>
    <w:p w14:paraId="6D8F205F" w14:textId="77777777" w:rsidR="0085484F" w:rsidRPr="009D7A51" w:rsidRDefault="00E510CE" w:rsidP="00E510CE">
      <w:pPr>
        <w:pStyle w:val="ctext"/>
      </w:pPr>
      <w:r w:rsidRPr="009D7A51">
        <w:t xml:space="preserve">Prior Authorization (PA) requests should be submitted and approved PRIOR to the delivery of any requested service that requires prior authorization.  PA requests received retrospectively (after the date of service of the requested service), will be evaluated for medical necessity and if approved will allow payment for related claims (subject to timely filing rules) performed prior to submission of the PA request.  PLEASE NOTE: A provider who performs a service that requires a prior authorization before receiving PA approval is at risk for non-payment for the service </w:t>
      </w:r>
      <w:proofErr w:type="gramStart"/>
      <w:r w:rsidRPr="009D7A51">
        <w:t>in the event that</w:t>
      </w:r>
      <w:proofErr w:type="gramEnd"/>
      <w:r w:rsidRPr="009D7A51">
        <w:t xml:space="preserve"> the retrospectively submitted PA request is denied.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B30F8" w:rsidRPr="009D7A51" w14:paraId="242A274B" w14:textId="77777777" w:rsidTr="003F7C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6D9C424" w14:textId="77777777" w:rsidR="002B30F8" w:rsidRPr="009D7A51" w:rsidRDefault="002B30F8" w:rsidP="002B30F8">
            <w:pPr>
              <w:pStyle w:val="chead2"/>
            </w:pPr>
            <w:bookmarkStart w:id="91" w:name="_Toc121621925"/>
            <w:bookmarkStart w:id="92" w:name="_Toc24252752"/>
            <w:bookmarkStart w:id="93" w:name="_Toc121621924"/>
            <w:bookmarkStart w:id="94" w:name="_Toc199331888"/>
            <w:r w:rsidRPr="009D7A51">
              <w:t>221.100</w:t>
            </w:r>
            <w:r w:rsidRPr="009D7A51">
              <w:tab/>
              <w:t>Extension of Benefits Review Process</w:t>
            </w:r>
            <w:bookmarkEnd w:id="93"/>
            <w:bookmarkEnd w:id="94"/>
          </w:p>
        </w:tc>
        <w:tc>
          <w:tcPr>
            <w:tcW w:w="1238" w:type="dxa"/>
            <w:tcBorders>
              <w:top w:val="single" w:sz="2" w:space="0" w:color="FFFFFF"/>
              <w:left w:val="single" w:sz="6" w:space="0" w:color="FFFFFF"/>
              <w:bottom w:val="single" w:sz="2" w:space="0" w:color="FFFFFF"/>
              <w:right w:val="single" w:sz="2" w:space="0" w:color="FFFFFF"/>
            </w:tcBorders>
          </w:tcPr>
          <w:p w14:paraId="0B4654A6" w14:textId="77777777" w:rsidR="002B30F8" w:rsidRPr="009D7A51" w:rsidRDefault="00087590" w:rsidP="002B30F8">
            <w:pPr>
              <w:pStyle w:val="cDate2"/>
            </w:pPr>
            <w:r w:rsidRPr="009D7A51">
              <w:t>8-1-21</w:t>
            </w:r>
          </w:p>
        </w:tc>
      </w:tr>
    </w:tbl>
    <w:bookmarkEnd w:id="92"/>
    <w:p w14:paraId="00322A90" w14:textId="2914D032" w:rsidR="002B30F8" w:rsidRPr="009D7A51" w:rsidRDefault="00087590" w:rsidP="00087590">
      <w:pPr>
        <w:pStyle w:val="ctext"/>
        <w:rPr>
          <w:szCs w:val="21"/>
        </w:rPr>
      </w:pPr>
      <w:r w:rsidRPr="009D7A51">
        <w:t xml:space="preserve">Extension of Benefits must be submitted to DHS or its designated vendor for review.  </w:t>
      </w:r>
      <w:hyperlink r:id="rId34" w:history="1">
        <w:r w:rsidRPr="009D7A51">
          <w:rPr>
            <w:rStyle w:val="Hyperlink"/>
          </w:rPr>
          <w:t>View or print contact information to obtain a step-by-step outline for the extension process.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B30F8" w:rsidRPr="009D7A51" w14:paraId="0F5164C0" w14:textId="77777777" w:rsidTr="003F7C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F978046" w14:textId="77777777" w:rsidR="002B30F8" w:rsidRPr="009D7A51" w:rsidRDefault="002B30F8" w:rsidP="003F7CE0">
            <w:pPr>
              <w:pStyle w:val="chead2"/>
            </w:pPr>
            <w:bookmarkStart w:id="95" w:name="_Toc199331889"/>
            <w:bookmarkEnd w:id="91"/>
            <w:r w:rsidRPr="009D7A51">
              <w:t>222.000</w:t>
            </w:r>
            <w:r w:rsidRPr="009D7A51">
              <w:tab/>
              <w:t>Duration of Authorization</w:t>
            </w:r>
            <w:bookmarkEnd w:id="95"/>
          </w:p>
        </w:tc>
        <w:tc>
          <w:tcPr>
            <w:tcW w:w="1238" w:type="dxa"/>
            <w:tcBorders>
              <w:top w:val="single" w:sz="2" w:space="0" w:color="FFFFFF"/>
              <w:left w:val="single" w:sz="6" w:space="0" w:color="FFFFFF"/>
              <w:bottom w:val="single" w:sz="2" w:space="0" w:color="FFFFFF"/>
              <w:right w:val="single" w:sz="2" w:space="0" w:color="FFFFFF"/>
            </w:tcBorders>
          </w:tcPr>
          <w:p w14:paraId="1220CC7C" w14:textId="77777777" w:rsidR="002B30F8" w:rsidRPr="009D7A51" w:rsidRDefault="002B30F8" w:rsidP="003F7CE0">
            <w:pPr>
              <w:pStyle w:val="cDate2"/>
            </w:pPr>
            <w:r w:rsidRPr="009D7A51">
              <w:t>3-1-06</w:t>
            </w:r>
          </w:p>
        </w:tc>
      </w:tr>
    </w:tbl>
    <w:p w14:paraId="4092D9F7" w14:textId="77777777" w:rsidR="002B30F8" w:rsidRPr="009D7A51" w:rsidRDefault="002B30F8" w:rsidP="002B30F8">
      <w:pPr>
        <w:pStyle w:val="ctext"/>
      </w:pPr>
      <w:r w:rsidRPr="009D7A51">
        <w:t>Medical assistance prior authorizations are valid for 180 days from date of approval, provided the patient remains eligible for services.  Prior authorization does not guarantee payment unless the patient remains eligible.</w:t>
      </w:r>
    </w:p>
    <w:p w14:paraId="5CC0A5C1" w14:textId="77777777" w:rsidR="002B30F8" w:rsidRPr="009D7A51" w:rsidRDefault="002B30F8" w:rsidP="002B30F8">
      <w:pPr>
        <w:pStyle w:val="ctext"/>
      </w:pPr>
      <w:r w:rsidRPr="009D7A51">
        <w:t>The doctor’s office will be responsible for verifying eligibility for the dates in which services are provided.  The patient is responsible for telling the doctor that he or she is a Medicaid beneficiary when making the first appointment.</w:t>
      </w:r>
    </w:p>
    <w:p w14:paraId="65A3D2D3" w14:textId="77777777" w:rsidR="002B30F8" w:rsidRPr="009D7A51" w:rsidRDefault="002B30F8" w:rsidP="002B30F8">
      <w:pPr>
        <w:pStyle w:val="ctext"/>
      </w:pPr>
      <w:r w:rsidRPr="009D7A51">
        <w:lastRenderedPageBreak/>
        <w:t xml:space="preserve">The doctor should always keep a copy of the services authorized with the prior authorization control number and a copy of each claim submitted.  If the treatment has not been completed in this </w:t>
      </w:r>
      <w:proofErr w:type="gramStart"/>
      <w:r w:rsidRPr="009D7A51">
        <w:t>period of time</w:t>
      </w:r>
      <w:proofErr w:type="gramEnd"/>
      <w:r w:rsidRPr="009D7A51">
        <w:t>, send a new request for authorization for the portion of the plan not completed.  A new prior authorization control number may be issued under prevailing policies.</w:t>
      </w:r>
    </w:p>
    <w:p w14:paraId="58DBD034" w14:textId="77777777" w:rsidR="008C0E88" w:rsidRPr="009D7A51" w:rsidRDefault="008C0E88" w:rsidP="002B30F8">
      <w:pPr>
        <w:pStyle w:val="ctablespace"/>
      </w:pPr>
    </w:p>
    <w:tbl>
      <w:tblPr>
        <w:tblW w:w="9360" w:type="dxa"/>
        <w:tblLook w:val="0000" w:firstRow="0" w:lastRow="0" w:firstColumn="0" w:lastColumn="0" w:noHBand="0" w:noVBand="0"/>
      </w:tblPr>
      <w:tblGrid>
        <w:gridCol w:w="8122"/>
        <w:gridCol w:w="1238"/>
      </w:tblGrid>
      <w:tr w:rsidR="0085484F" w:rsidRPr="009D7A51" w14:paraId="53D1CD2B" w14:textId="77777777" w:rsidTr="0017242B">
        <w:tblPrEx>
          <w:tblCellMar>
            <w:top w:w="0" w:type="dxa"/>
            <w:bottom w:w="0" w:type="dxa"/>
          </w:tblCellMar>
        </w:tblPrEx>
        <w:trPr>
          <w:cantSplit/>
        </w:trPr>
        <w:tc>
          <w:tcPr>
            <w:tcW w:w="8122" w:type="dxa"/>
            <w:shd w:val="clear" w:color="auto" w:fill="1D73D6"/>
          </w:tcPr>
          <w:p w14:paraId="03CF35C8" w14:textId="77777777" w:rsidR="0085484F" w:rsidRPr="009D7A51" w:rsidRDefault="0085484F" w:rsidP="00351B05">
            <w:pPr>
              <w:pStyle w:val="chead1"/>
            </w:pPr>
            <w:bookmarkStart w:id="96" w:name="_Toc24252753"/>
            <w:bookmarkStart w:id="97" w:name="_Toc199331890"/>
            <w:r w:rsidRPr="009D7A51">
              <w:t>230.000</w:t>
            </w:r>
            <w:r w:rsidRPr="009D7A51">
              <w:tab/>
              <w:t>REIMBURSEMENT</w:t>
            </w:r>
            <w:bookmarkEnd w:id="96"/>
            <w:bookmarkEnd w:id="97"/>
          </w:p>
        </w:tc>
        <w:tc>
          <w:tcPr>
            <w:tcW w:w="1238" w:type="dxa"/>
            <w:shd w:val="clear" w:color="auto" w:fill="1D73D6"/>
            <w:vAlign w:val="center"/>
          </w:tcPr>
          <w:p w14:paraId="3F4EF9CC" w14:textId="77777777" w:rsidR="0085484F" w:rsidRPr="009D7A51" w:rsidRDefault="0085484F" w:rsidP="00617224">
            <w:pPr>
              <w:pStyle w:val="cDate1"/>
            </w:pPr>
          </w:p>
        </w:tc>
      </w:tr>
      <w:tr w:rsidR="0085484F" w:rsidRPr="009D7A51" w14:paraId="569AC2D1" w14:textId="77777777" w:rsidTr="0017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2B8BE18" w14:textId="77777777" w:rsidR="0085484F" w:rsidRPr="009D7A51" w:rsidRDefault="0085484F" w:rsidP="00617224">
            <w:pPr>
              <w:pStyle w:val="chead2"/>
            </w:pPr>
            <w:bookmarkStart w:id="98" w:name="_Toc24252754"/>
            <w:bookmarkStart w:id="99" w:name="_Toc199331891"/>
            <w:r w:rsidRPr="009D7A51">
              <w:t>231.000</w:t>
            </w:r>
            <w:r w:rsidRPr="009D7A51">
              <w:tab/>
              <w:t>Method of Reimbursement</w:t>
            </w:r>
            <w:bookmarkEnd w:id="98"/>
            <w:bookmarkEnd w:id="99"/>
          </w:p>
        </w:tc>
        <w:tc>
          <w:tcPr>
            <w:tcW w:w="1238" w:type="dxa"/>
            <w:tcBorders>
              <w:top w:val="nil"/>
              <w:left w:val="single" w:sz="6" w:space="0" w:color="FFFFFF"/>
              <w:bottom w:val="single" w:sz="2" w:space="0" w:color="FFFFFF"/>
              <w:right w:val="single" w:sz="2" w:space="0" w:color="FFFFFF"/>
            </w:tcBorders>
          </w:tcPr>
          <w:p w14:paraId="74615F87" w14:textId="77777777" w:rsidR="0085484F" w:rsidRPr="009D7A51" w:rsidRDefault="0085484F" w:rsidP="00617224">
            <w:pPr>
              <w:pStyle w:val="cDate2"/>
            </w:pPr>
            <w:smartTag w:uri="urn:schemas-microsoft-com:office:smarttags" w:element="date">
              <w:smartTagPr>
                <w:attr w:name="Year" w:val="2003"/>
                <w:attr w:name="Day" w:val="13"/>
                <w:attr w:name="Month" w:val="10"/>
              </w:smartTagPr>
              <w:r w:rsidRPr="009D7A51">
                <w:t>10-13-03</w:t>
              </w:r>
            </w:smartTag>
          </w:p>
        </w:tc>
      </w:tr>
    </w:tbl>
    <w:p w14:paraId="0A30A0AC" w14:textId="77777777" w:rsidR="00E50785" w:rsidRPr="009D7A51" w:rsidRDefault="0085484F" w:rsidP="00617224">
      <w:pPr>
        <w:pStyle w:val="ctext"/>
      </w:pPr>
      <w:r w:rsidRPr="009D7A51">
        <w:t>The methodology used by the Arkansas Medicaid Program to determine reimbursement rates for visual care providers is a fee schedule.  Under the fee schedule methodology, reimbursement is based on the lesser of the billed charge or the Medicaid maximum allowable for each procedure.  The maximum allowable for a procedure is the same for all visual care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50785" w:rsidRPr="009D7A51" w14:paraId="7AE84AA3" w14:textId="77777777" w:rsidTr="009E4F43">
        <w:trPr>
          <w:cantSplit/>
        </w:trPr>
        <w:tc>
          <w:tcPr>
            <w:tcW w:w="8122" w:type="dxa"/>
            <w:tcBorders>
              <w:top w:val="single" w:sz="2" w:space="0" w:color="FFFFFF"/>
              <w:left w:val="single" w:sz="2" w:space="0" w:color="FFFFFF"/>
              <w:bottom w:val="single" w:sz="2" w:space="0" w:color="FFFFFF"/>
              <w:right w:val="single" w:sz="6" w:space="0" w:color="FFFFFF"/>
            </w:tcBorders>
          </w:tcPr>
          <w:p w14:paraId="0690AAAC" w14:textId="77777777" w:rsidR="00E50785" w:rsidRPr="009D7A51" w:rsidRDefault="00E50785" w:rsidP="009E4F43">
            <w:pPr>
              <w:pStyle w:val="chead2"/>
            </w:pPr>
            <w:bookmarkStart w:id="100" w:name="_Toc20537987"/>
            <w:bookmarkStart w:id="101" w:name="_Toc20534448"/>
            <w:bookmarkStart w:id="102" w:name="_Toc24252727"/>
            <w:bookmarkStart w:id="103" w:name="_Toc24443504"/>
            <w:bookmarkStart w:id="104" w:name="_Toc199331892"/>
            <w:r w:rsidRPr="009D7A51">
              <w:t>231.010</w:t>
            </w:r>
            <w:r w:rsidRPr="009D7A51">
              <w:tab/>
            </w:r>
            <w:bookmarkEnd w:id="100"/>
            <w:bookmarkEnd w:id="101"/>
            <w:bookmarkEnd w:id="102"/>
            <w:bookmarkEnd w:id="103"/>
            <w:r w:rsidRPr="009D7A51">
              <w:t>Fee Schedule</w:t>
            </w:r>
            <w:bookmarkEnd w:id="104"/>
          </w:p>
        </w:tc>
        <w:tc>
          <w:tcPr>
            <w:tcW w:w="1238" w:type="dxa"/>
            <w:tcBorders>
              <w:top w:val="single" w:sz="2" w:space="0" w:color="FFFFFF"/>
              <w:left w:val="single" w:sz="6" w:space="0" w:color="FFFFFF"/>
              <w:bottom w:val="single" w:sz="2" w:space="0" w:color="FFFFFF"/>
              <w:right w:val="single" w:sz="2" w:space="0" w:color="FFFFFF"/>
            </w:tcBorders>
          </w:tcPr>
          <w:p w14:paraId="76F04732" w14:textId="77777777" w:rsidR="00E50785" w:rsidRPr="009D7A51" w:rsidRDefault="00E50785" w:rsidP="009E4F43">
            <w:pPr>
              <w:pStyle w:val="cDate2"/>
            </w:pPr>
            <w:r w:rsidRPr="009D7A51">
              <w:t>12-1-12</w:t>
            </w:r>
          </w:p>
        </w:tc>
      </w:tr>
    </w:tbl>
    <w:p w14:paraId="3C844A9F" w14:textId="77777777" w:rsidR="00E50785" w:rsidRPr="009D7A51" w:rsidRDefault="00E50785" w:rsidP="00E50785">
      <w:pPr>
        <w:pStyle w:val="ctext"/>
      </w:pPr>
      <w:r w:rsidRPr="009D7A51">
        <w:t xml:space="preserve">Arkansas Medicaid provides fee schedules on the Arkansas Medicaid website.  The fee schedule link is located at </w:t>
      </w:r>
      <w:hyperlink r:id="rId35" w:history="1">
        <w:r w:rsidR="00B3685B" w:rsidRPr="009D7A51">
          <w:rPr>
            <w:rStyle w:val="Hyperlink"/>
          </w:rPr>
          <w:t>https://medicaid.mmis.arkansas.gov/</w:t>
        </w:r>
      </w:hyperlink>
      <w:r w:rsidRPr="009D7A51">
        <w:t xml:space="preserve"> under the provider manual section.  The fees represent the fee-for-service reimbursement methodology.  </w:t>
      </w:r>
    </w:p>
    <w:p w14:paraId="3A2F95E5" w14:textId="77777777" w:rsidR="00E50785" w:rsidRPr="009D7A51" w:rsidRDefault="00E50785" w:rsidP="00E50785">
      <w:pPr>
        <w:pStyle w:val="ctext"/>
      </w:pPr>
      <w:r w:rsidRPr="009D7A51">
        <w:t xml:space="preserve">Fee schedules do not address coverage limitations or special instructions applied by Arkansas Medicaid before final payment is determined.  </w:t>
      </w:r>
    </w:p>
    <w:p w14:paraId="4E964DC1" w14:textId="77777777" w:rsidR="00E50785" w:rsidRPr="009D7A51" w:rsidRDefault="00E50785" w:rsidP="00E50785">
      <w:pPr>
        <w:pStyle w:val="ctext"/>
      </w:pPr>
      <w:r w:rsidRPr="009D7A51">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F1672" w:rsidRPr="009D7A51" w14:paraId="20F62C6C" w14:textId="77777777" w:rsidTr="00E060BC">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31BD9A" w14:textId="77777777" w:rsidR="00EF1672" w:rsidRPr="009D7A51" w:rsidRDefault="00EF1672" w:rsidP="00E060BC">
            <w:pPr>
              <w:pStyle w:val="chead2"/>
            </w:pPr>
            <w:bookmarkStart w:id="105" w:name="_Toc138131573"/>
            <w:bookmarkStart w:id="106" w:name="_Toc199331893"/>
            <w:r w:rsidRPr="009D7A51">
              <w:t>232.000</w:t>
            </w:r>
            <w:r w:rsidRPr="009D7A51">
              <w:tab/>
              <w:t>Rate Appeal Process</w:t>
            </w:r>
            <w:bookmarkEnd w:id="105"/>
            <w:bookmarkEnd w:id="106"/>
          </w:p>
        </w:tc>
        <w:tc>
          <w:tcPr>
            <w:tcW w:w="1238" w:type="dxa"/>
            <w:tcBorders>
              <w:top w:val="single" w:sz="2" w:space="0" w:color="FFFFFF"/>
              <w:left w:val="single" w:sz="6" w:space="0" w:color="FFFFFF"/>
              <w:bottom w:val="single" w:sz="2" w:space="0" w:color="FFFFFF"/>
              <w:right w:val="single" w:sz="2" w:space="0" w:color="FFFFFF"/>
            </w:tcBorders>
          </w:tcPr>
          <w:p w14:paraId="4A43AAA4" w14:textId="77777777" w:rsidR="00EF1672" w:rsidRPr="009D7A51" w:rsidRDefault="00EF1672" w:rsidP="00E060BC">
            <w:pPr>
              <w:pStyle w:val="cDate2"/>
            </w:pPr>
            <w:r w:rsidRPr="009D7A51">
              <w:t>9-1-08</w:t>
            </w:r>
          </w:p>
        </w:tc>
      </w:tr>
    </w:tbl>
    <w:p w14:paraId="1F12F2B8" w14:textId="77777777" w:rsidR="00EF1672" w:rsidRPr="009D7A51" w:rsidRDefault="00EF1672" w:rsidP="00EF1672">
      <w:pPr>
        <w:pStyle w:val="ctext"/>
      </w:pPr>
      <w:r w:rsidRPr="009D7A51">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34F63B43" w14:textId="77777777" w:rsidR="00EF1672" w:rsidRPr="009D7A51" w:rsidRDefault="00EF1672" w:rsidP="00EF1672">
      <w:pPr>
        <w:pStyle w:val="ctext"/>
      </w:pPr>
      <w:r w:rsidRPr="009D7A51">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654C3894" w14:textId="77777777" w:rsidR="00EF1672" w:rsidRPr="009D7A51" w:rsidRDefault="00EF1672" w:rsidP="00EF1672">
      <w:pPr>
        <w:pStyle w:val="ctext"/>
      </w:pPr>
      <w:r w:rsidRPr="009D7A51">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38236B4B" w14:textId="77777777" w:rsidR="002B30F8" w:rsidRPr="009D7A51" w:rsidRDefault="002B30F8" w:rsidP="002B30F8">
      <w:pPr>
        <w:pStyle w:val="ctablespace"/>
      </w:pPr>
    </w:p>
    <w:tbl>
      <w:tblPr>
        <w:tblW w:w="9360" w:type="dxa"/>
        <w:tblLook w:val="0000" w:firstRow="0" w:lastRow="0" w:firstColumn="0" w:lastColumn="0" w:noHBand="0" w:noVBand="0"/>
      </w:tblPr>
      <w:tblGrid>
        <w:gridCol w:w="8122"/>
        <w:gridCol w:w="1238"/>
      </w:tblGrid>
      <w:tr w:rsidR="0085484F" w:rsidRPr="009D7A51" w14:paraId="24D11143" w14:textId="77777777" w:rsidTr="0017242B">
        <w:tblPrEx>
          <w:tblCellMar>
            <w:top w:w="0" w:type="dxa"/>
            <w:bottom w:w="0" w:type="dxa"/>
          </w:tblCellMar>
        </w:tblPrEx>
        <w:trPr>
          <w:cantSplit/>
        </w:trPr>
        <w:tc>
          <w:tcPr>
            <w:tcW w:w="8122" w:type="dxa"/>
            <w:shd w:val="clear" w:color="auto" w:fill="1D73D6"/>
          </w:tcPr>
          <w:p w14:paraId="41D7FACE" w14:textId="77777777" w:rsidR="0085484F" w:rsidRPr="009D7A51" w:rsidRDefault="0085484F" w:rsidP="00617224">
            <w:pPr>
              <w:pStyle w:val="chead1"/>
            </w:pPr>
            <w:bookmarkStart w:id="107" w:name="_Toc24443523"/>
            <w:bookmarkStart w:id="108" w:name="_Toc33424810"/>
            <w:bookmarkStart w:id="109" w:name="_Toc199331894"/>
            <w:r w:rsidRPr="009D7A51">
              <w:t>240.000</w:t>
            </w:r>
            <w:r w:rsidRPr="009D7A51">
              <w:tab/>
              <w:t>BILLING PROCEDURES</w:t>
            </w:r>
            <w:bookmarkEnd w:id="107"/>
            <w:bookmarkEnd w:id="108"/>
            <w:bookmarkEnd w:id="109"/>
          </w:p>
        </w:tc>
        <w:tc>
          <w:tcPr>
            <w:tcW w:w="1238" w:type="dxa"/>
            <w:shd w:val="clear" w:color="auto" w:fill="1D73D6"/>
            <w:vAlign w:val="center"/>
          </w:tcPr>
          <w:p w14:paraId="15BD9385" w14:textId="77777777" w:rsidR="0085484F" w:rsidRPr="009D7A51" w:rsidRDefault="0085484F" w:rsidP="00617224">
            <w:pPr>
              <w:pStyle w:val="cDate1"/>
            </w:pPr>
          </w:p>
        </w:tc>
      </w:tr>
      <w:tr w:rsidR="00831E49" w:rsidRPr="009D7A51" w14:paraId="1521667B" w14:textId="77777777" w:rsidTr="00172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38FF6CF" w14:textId="77777777" w:rsidR="00831E49" w:rsidRPr="009D7A51" w:rsidRDefault="00831E49" w:rsidP="006D2380">
            <w:pPr>
              <w:pStyle w:val="chead2"/>
            </w:pPr>
            <w:bookmarkStart w:id="110" w:name="_Toc138131575"/>
            <w:bookmarkStart w:id="111" w:name="_Toc199331895"/>
            <w:r w:rsidRPr="009D7A51">
              <w:t>241.000</w:t>
            </w:r>
            <w:r w:rsidRPr="009D7A51">
              <w:tab/>
              <w:t>Introduction to Billing</w:t>
            </w:r>
            <w:bookmarkEnd w:id="110"/>
            <w:bookmarkEnd w:id="111"/>
          </w:p>
        </w:tc>
        <w:tc>
          <w:tcPr>
            <w:tcW w:w="1238" w:type="dxa"/>
            <w:tcBorders>
              <w:top w:val="nil"/>
              <w:left w:val="single" w:sz="6" w:space="0" w:color="FFFFFF"/>
              <w:bottom w:val="single" w:sz="2" w:space="0" w:color="FFFFFF"/>
              <w:right w:val="single" w:sz="2" w:space="0" w:color="FFFFFF"/>
            </w:tcBorders>
          </w:tcPr>
          <w:p w14:paraId="44FC10E8" w14:textId="77777777" w:rsidR="00831E49" w:rsidRPr="009D7A51" w:rsidRDefault="00822491" w:rsidP="006D2380">
            <w:pPr>
              <w:pStyle w:val="cDate2"/>
            </w:pPr>
            <w:r w:rsidRPr="009D7A51">
              <w:t>7-1-20</w:t>
            </w:r>
          </w:p>
        </w:tc>
      </w:tr>
    </w:tbl>
    <w:p w14:paraId="3D653A20" w14:textId="77777777" w:rsidR="00822491" w:rsidRPr="009D7A51" w:rsidRDefault="00822491" w:rsidP="00FB1858">
      <w:pPr>
        <w:pStyle w:val="ctext"/>
      </w:pPr>
      <w:r w:rsidRPr="009D7A51">
        <w:lastRenderedPageBreak/>
        <w:t>Visual care providers use the CMS-1500 claim form or the CMS-1500 form to bill the Arkansas Medicaid Program on paper for services provided to eligible Medicaid beneficiaries.  Each claim may contain charges for only one (1) beneficiary.</w:t>
      </w:r>
    </w:p>
    <w:p w14:paraId="6F73B55D" w14:textId="77777777" w:rsidR="00822491" w:rsidRPr="009D7A51" w:rsidRDefault="00822491" w:rsidP="00822491">
      <w:pPr>
        <w:pStyle w:val="ctext"/>
      </w:pPr>
      <w:r w:rsidRPr="009D7A51">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5484F" w:rsidRPr="009D7A51" w14:paraId="5986C2FD"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501A586" w14:textId="77777777" w:rsidR="0085484F" w:rsidRPr="009D7A51" w:rsidRDefault="0085484F" w:rsidP="00A45DAB">
            <w:pPr>
              <w:pStyle w:val="chead2"/>
            </w:pPr>
            <w:bookmarkStart w:id="112" w:name="_Toc199331896"/>
            <w:r w:rsidRPr="009D7A51">
              <w:t>242.000</w:t>
            </w:r>
            <w:r w:rsidRPr="009D7A51">
              <w:tab/>
            </w:r>
            <w:r w:rsidR="000D4D8C" w:rsidRPr="009D7A51">
              <w:t>Reserved</w:t>
            </w:r>
            <w:bookmarkEnd w:id="112"/>
          </w:p>
        </w:tc>
        <w:tc>
          <w:tcPr>
            <w:tcW w:w="1238" w:type="dxa"/>
            <w:tcBorders>
              <w:top w:val="single" w:sz="2" w:space="0" w:color="FFFFFF"/>
              <w:left w:val="single" w:sz="6" w:space="0" w:color="FFFFFF"/>
              <w:bottom w:val="single" w:sz="2" w:space="0" w:color="FFFFFF"/>
              <w:right w:val="single" w:sz="2" w:space="0" w:color="FFFFFF"/>
            </w:tcBorders>
          </w:tcPr>
          <w:p w14:paraId="6B37DF84" w14:textId="77777777" w:rsidR="0085484F" w:rsidRPr="009D7A51" w:rsidRDefault="0085484F" w:rsidP="008C0E88">
            <w:pPr>
              <w:pStyle w:val="cDate2"/>
            </w:pPr>
          </w:p>
        </w:tc>
      </w:tr>
      <w:tr w:rsidR="0085484F" w:rsidRPr="009D7A51" w14:paraId="2B8D2110"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1F33D74" w14:textId="77777777" w:rsidR="0085484F" w:rsidRPr="009D7A51" w:rsidRDefault="0085484F" w:rsidP="008C0E88">
            <w:pPr>
              <w:pStyle w:val="chead2"/>
            </w:pPr>
            <w:bookmarkStart w:id="113" w:name="_Toc24443544"/>
            <w:bookmarkStart w:id="114" w:name="_Toc33424831"/>
            <w:bookmarkStart w:id="115" w:name="_Toc199331897"/>
            <w:r w:rsidRPr="009D7A51">
              <w:t>242.100</w:t>
            </w:r>
            <w:r w:rsidRPr="009D7A51">
              <w:tab/>
              <w:t>Visual Care Procedure Codes</w:t>
            </w:r>
            <w:bookmarkEnd w:id="113"/>
            <w:bookmarkEnd w:id="114"/>
            <w:bookmarkEnd w:id="115"/>
          </w:p>
        </w:tc>
        <w:tc>
          <w:tcPr>
            <w:tcW w:w="1238" w:type="dxa"/>
            <w:tcBorders>
              <w:top w:val="single" w:sz="2" w:space="0" w:color="FFFFFF"/>
              <w:left w:val="single" w:sz="6" w:space="0" w:color="FFFFFF"/>
              <w:bottom w:val="single" w:sz="2" w:space="0" w:color="FFFFFF"/>
              <w:right w:val="single" w:sz="2" w:space="0" w:color="FFFFFF"/>
            </w:tcBorders>
          </w:tcPr>
          <w:p w14:paraId="0B8940F1" w14:textId="77777777" w:rsidR="0085484F" w:rsidRPr="009D7A51" w:rsidRDefault="0085484F" w:rsidP="008C0E88">
            <w:pPr>
              <w:pStyle w:val="cDate2"/>
            </w:pPr>
          </w:p>
        </w:tc>
      </w:tr>
      <w:tr w:rsidR="009C552F" w:rsidRPr="009D7A51" w14:paraId="03CC1422" w14:textId="77777777" w:rsidTr="00DD2D8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03A2F8A" w14:textId="77777777" w:rsidR="009C552F" w:rsidRPr="009D7A51" w:rsidRDefault="009C552F" w:rsidP="00DD2D89">
            <w:pPr>
              <w:pStyle w:val="chead2"/>
              <w:keepNext/>
            </w:pPr>
            <w:bookmarkStart w:id="116" w:name="_Toc199331898"/>
            <w:r w:rsidRPr="009D7A51">
              <w:t>242.110</w:t>
            </w:r>
            <w:r w:rsidRPr="009D7A51">
              <w:tab/>
            </w:r>
            <w:r w:rsidR="001E0F8E" w:rsidRPr="009D7A51">
              <w:t>Visual Procedure Codes</w:t>
            </w:r>
            <w:bookmarkEnd w:id="116"/>
          </w:p>
        </w:tc>
        <w:tc>
          <w:tcPr>
            <w:tcW w:w="1238" w:type="dxa"/>
            <w:tcBorders>
              <w:top w:val="single" w:sz="2" w:space="0" w:color="FFFFFF"/>
              <w:left w:val="single" w:sz="6" w:space="0" w:color="FFFFFF"/>
              <w:bottom w:val="single" w:sz="2" w:space="0" w:color="FFFFFF"/>
              <w:right w:val="single" w:sz="2" w:space="0" w:color="FFFFFF"/>
            </w:tcBorders>
          </w:tcPr>
          <w:p w14:paraId="333E9AF9" w14:textId="77777777" w:rsidR="009C552F" w:rsidRPr="009D7A51" w:rsidRDefault="001E0F8E" w:rsidP="00DD2D89">
            <w:pPr>
              <w:pStyle w:val="cDate2"/>
              <w:keepNext/>
            </w:pPr>
            <w:r w:rsidRPr="009D7A51">
              <w:t>2-1-22</w:t>
            </w:r>
          </w:p>
        </w:tc>
      </w:tr>
    </w:tbl>
    <w:p w14:paraId="472D0F61" w14:textId="77777777" w:rsidR="001E0F8E" w:rsidRPr="009D7A51" w:rsidRDefault="001E0F8E" w:rsidP="001E0F8E">
      <w:pPr>
        <w:pStyle w:val="ctext"/>
      </w:pPr>
      <w:r w:rsidRPr="009D7A51">
        <w:t>The following services are covered under the Arkansas Medicaid Program.  “W/PA” means that a service requires prior authorization.</w:t>
      </w:r>
    </w:p>
    <w:p w14:paraId="26B3CA77" w14:textId="77777777" w:rsidR="001E0F8E" w:rsidRPr="009D7A51" w:rsidRDefault="001E0F8E" w:rsidP="001E0F8E">
      <w:pPr>
        <w:pStyle w:val="ctext"/>
      </w:pPr>
      <w:hyperlink r:id="rId36" w:history="1">
        <w:r w:rsidRPr="009D7A51">
          <w:rPr>
            <w:rStyle w:val="Hyperlink"/>
          </w:rPr>
          <w:t>View or print the procedure codes for Vision services.</w:t>
        </w:r>
      </w:hyperlink>
    </w:p>
    <w:p w14:paraId="5A6B02FB" w14:textId="77777777" w:rsidR="001E0F8E" w:rsidRPr="009D7A51" w:rsidRDefault="001E0F8E" w:rsidP="001E0F8E">
      <w:pPr>
        <w:pStyle w:val="ctablespace"/>
      </w:pPr>
    </w:p>
    <w:tbl>
      <w:tblPr>
        <w:tblW w:w="8820" w:type="dxa"/>
        <w:tblInd w:w="468" w:type="dxa"/>
        <w:tblLayout w:type="fixed"/>
        <w:tblCellMar>
          <w:left w:w="115" w:type="dxa"/>
          <w:right w:w="115" w:type="dxa"/>
        </w:tblCellMar>
        <w:tblLook w:val="04A0" w:firstRow="1" w:lastRow="0" w:firstColumn="1" w:lastColumn="0" w:noHBand="0" w:noVBand="1"/>
      </w:tblPr>
      <w:tblGrid>
        <w:gridCol w:w="6032"/>
        <w:gridCol w:w="2788"/>
      </w:tblGrid>
      <w:tr w:rsidR="001E0F8E" w:rsidRPr="009D7A51" w14:paraId="3D65BAD5" w14:textId="77777777" w:rsidTr="001E0F8E">
        <w:trPr>
          <w:cantSplit/>
        </w:trPr>
        <w:tc>
          <w:tcPr>
            <w:tcW w:w="6037" w:type="dxa"/>
            <w:tcBorders>
              <w:top w:val="single" w:sz="2" w:space="0" w:color="auto"/>
              <w:left w:val="single" w:sz="4" w:space="0" w:color="FFFFFF"/>
              <w:bottom w:val="single" w:sz="4" w:space="0" w:color="000000"/>
              <w:right w:val="single" w:sz="4" w:space="0" w:color="FFFFFF"/>
            </w:tcBorders>
            <w:hideMark/>
          </w:tcPr>
          <w:p w14:paraId="565E4986" w14:textId="77777777" w:rsidR="001E0F8E" w:rsidRPr="009D7A51" w:rsidRDefault="001E0F8E" w:rsidP="001E0F8E">
            <w:pPr>
              <w:pStyle w:val="cTableText"/>
            </w:pPr>
            <w:r w:rsidRPr="009D7A51">
              <w:t>DIAGNOSTIC AND ANCILLARY SERVICES</w:t>
            </w:r>
          </w:p>
        </w:tc>
        <w:tc>
          <w:tcPr>
            <w:tcW w:w="2790" w:type="dxa"/>
            <w:tcBorders>
              <w:top w:val="single" w:sz="2" w:space="0" w:color="auto"/>
              <w:left w:val="single" w:sz="4" w:space="0" w:color="FFFFFF"/>
              <w:bottom w:val="single" w:sz="4" w:space="0" w:color="000000"/>
              <w:right w:val="single" w:sz="4" w:space="0" w:color="FFFFFF"/>
            </w:tcBorders>
          </w:tcPr>
          <w:p w14:paraId="7A377A8F" w14:textId="77777777" w:rsidR="001E0F8E" w:rsidRPr="009D7A51" w:rsidRDefault="001E0F8E" w:rsidP="001E0F8E">
            <w:pPr>
              <w:pStyle w:val="cTableText"/>
            </w:pPr>
          </w:p>
        </w:tc>
      </w:tr>
      <w:tr w:rsidR="001E0F8E" w:rsidRPr="009D7A51" w14:paraId="514335F8" w14:textId="77777777" w:rsidTr="001E0F8E">
        <w:trPr>
          <w:cantSplit/>
        </w:trPr>
        <w:tc>
          <w:tcPr>
            <w:tcW w:w="6037" w:type="dxa"/>
            <w:tcBorders>
              <w:top w:val="single" w:sz="4" w:space="0" w:color="000000"/>
              <w:left w:val="single" w:sz="4" w:space="0" w:color="FFFFFF"/>
              <w:bottom w:val="single" w:sz="4" w:space="0" w:color="000000"/>
              <w:right w:val="single" w:sz="4" w:space="0" w:color="FFFFFF"/>
            </w:tcBorders>
            <w:hideMark/>
          </w:tcPr>
          <w:p w14:paraId="02BD5307" w14:textId="77777777" w:rsidR="001E0F8E" w:rsidRPr="009D7A51" w:rsidRDefault="001E0F8E" w:rsidP="001E0F8E">
            <w:pPr>
              <w:pStyle w:val="cTableText"/>
            </w:pPr>
            <w:r w:rsidRPr="009D7A51">
              <w:t>CONTACT LENS SERVICES</w:t>
            </w:r>
          </w:p>
        </w:tc>
        <w:tc>
          <w:tcPr>
            <w:tcW w:w="2790" w:type="dxa"/>
            <w:tcBorders>
              <w:top w:val="single" w:sz="4" w:space="0" w:color="000000"/>
              <w:left w:val="single" w:sz="4" w:space="0" w:color="FFFFFF"/>
              <w:bottom w:val="single" w:sz="4" w:space="0" w:color="000000"/>
              <w:right w:val="single" w:sz="4" w:space="0" w:color="FFFFFF"/>
            </w:tcBorders>
          </w:tcPr>
          <w:p w14:paraId="3426D842" w14:textId="77777777" w:rsidR="001E0F8E" w:rsidRPr="009D7A51" w:rsidRDefault="001E0F8E" w:rsidP="001E0F8E">
            <w:pPr>
              <w:pStyle w:val="cTableText"/>
            </w:pPr>
          </w:p>
        </w:tc>
      </w:tr>
      <w:tr w:rsidR="001E0F8E" w:rsidRPr="009D7A51" w14:paraId="5AD52D85" w14:textId="77777777" w:rsidTr="001E0F8E">
        <w:trPr>
          <w:cantSplit/>
        </w:trPr>
        <w:tc>
          <w:tcPr>
            <w:tcW w:w="6037" w:type="dxa"/>
            <w:tcBorders>
              <w:top w:val="single" w:sz="4" w:space="0" w:color="000000"/>
              <w:left w:val="single" w:sz="4" w:space="0" w:color="FFFFFF"/>
              <w:bottom w:val="single" w:sz="4" w:space="0" w:color="000000"/>
              <w:right w:val="single" w:sz="4" w:space="0" w:color="FFFFFF"/>
            </w:tcBorders>
            <w:hideMark/>
          </w:tcPr>
          <w:p w14:paraId="1A7A3B58" w14:textId="77777777" w:rsidR="001E0F8E" w:rsidRPr="009D7A51" w:rsidRDefault="001E0F8E" w:rsidP="001E0F8E">
            <w:pPr>
              <w:pStyle w:val="cTableText"/>
            </w:pPr>
            <w:r w:rsidRPr="009D7A51">
              <w:t>LOW VISION SERVICES</w:t>
            </w:r>
          </w:p>
        </w:tc>
        <w:tc>
          <w:tcPr>
            <w:tcW w:w="2790" w:type="dxa"/>
            <w:tcBorders>
              <w:top w:val="single" w:sz="4" w:space="0" w:color="000000"/>
              <w:left w:val="single" w:sz="4" w:space="0" w:color="FFFFFF"/>
              <w:bottom w:val="single" w:sz="4" w:space="0" w:color="000000"/>
              <w:right w:val="single" w:sz="4" w:space="0" w:color="FFFFFF"/>
            </w:tcBorders>
          </w:tcPr>
          <w:p w14:paraId="5E43670C" w14:textId="77777777" w:rsidR="001E0F8E" w:rsidRPr="009D7A51" w:rsidRDefault="001E0F8E" w:rsidP="001E0F8E">
            <w:pPr>
              <w:pStyle w:val="cTableText"/>
            </w:pPr>
          </w:p>
        </w:tc>
      </w:tr>
      <w:tr w:rsidR="001E0F8E" w:rsidRPr="009D7A51" w14:paraId="017DD63F" w14:textId="77777777" w:rsidTr="001E0F8E">
        <w:trPr>
          <w:cantSplit/>
        </w:trPr>
        <w:tc>
          <w:tcPr>
            <w:tcW w:w="6037" w:type="dxa"/>
            <w:tcBorders>
              <w:top w:val="single" w:sz="4" w:space="0" w:color="000000"/>
              <w:left w:val="single" w:sz="4" w:space="0" w:color="FFFFFF"/>
              <w:bottom w:val="single" w:sz="4" w:space="0" w:color="000000"/>
              <w:right w:val="single" w:sz="4" w:space="0" w:color="FFFFFF"/>
            </w:tcBorders>
            <w:hideMark/>
          </w:tcPr>
          <w:p w14:paraId="3F403250" w14:textId="77777777" w:rsidR="001E0F8E" w:rsidRPr="009D7A51" w:rsidRDefault="001E0F8E" w:rsidP="001E0F8E">
            <w:pPr>
              <w:pStyle w:val="cTableText"/>
            </w:pPr>
            <w:r w:rsidRPr="009D7A51">
              <w:t>SUPPLEMENTAL PROCEDURES</w:t>
            </w:r>
          </w:p>
        </w:tc>
        <w:tc>
          <w:tcPr>
            <w:tcW w:w="2790" w:type="dxa"/>
            <w:tcBorders>
              <w:top w:val="single" w:sz="4" w:space="0" w:color="000000"/>
              <w:left w:val="single" w:sz="4" w:space="0" w:color="FFFFFF"/>
              <w:bottom w:val="single" w:sz="4" w:space="0" w:color="000000"/>
              <w:right w:val="single" w:sz="4" w:space="0" w:color="FFFFFF"/>
            </w:tcBorders>
          </w:tcPr>
          <w:p w14:paraId="1CD70F97" w14:textId="77777777" w:rsidR="001E0F8E" w:rsidRPr="009D7A51" w:rsidRDefault="001E0F8E" w:rsidP="001E0F8E">
            <w:pPr>
              <w:pStyle w:val="cTableText"/>
            </w:pPr>
          </w:p>
        </w:tc>
      </w:tr>
      <w:tr w:rsidR="001E0F8E" w:rsidRPr="009D7A51" w14:paraId="78BDEC12" w14:textId="77777777" w:rsidTr="001E0F8E">
        <w:trPr>
          <w:cantSplit/>
        </w:trPr>
        <w:tc>
          <w:tcPr>
            <w:tcW w:w="6037" w:type="dxa"/>
            <w:tcBorders>
              <w:top w:val="single" w:sz="4" w:space="0" w:color="000000"/>
              <w:left w:val="single" w:sz="4" w:space="0" w:color="FFFFFF"/>
              <w:bottom w:val="single" w:sz="4" w:space="0" w:color="000000"/>
              <w:right w:val="single" w:sz="4" w:space="0" w:color="FFFFFF"/>
            </w:tcBorders>
            <w:hideMark/>
          </w:tcPr>
          <w:p w14:paraId="5390DFD0" w14:textId="77777777" w:rsidR="001E0F8E" w:rsidRPr="009D7A51" w:rsidRDefault="001E0F8E" w:rsidP="001E0F8E">
            <w:pPr>
              <w:pStyle w:val="cTableText"/>
            </w:pPr>
            <w:r w:rsidRPr="009D7A51">
              <w:t>MISCELLANEOUS SERVICES</w:t>
            </w:r>
          </w:p>
        </w:tc>
        <w:tc>
          <w:tcPr>
            <w:tcW w:w="2790" w:type="dxa"/>
            <w:tcBorders>
              <w:top w:val="single" w:sz="4" w:space="0" w:color="000000"/>
              <w:left w:val="single" w:sz="4" w:space="0" w:color="FFFFFF"/>
              <w:bottom w:val="single" w:sz="4" w:space="0" w:color="000000"/>
              <w:right w:val="single" w:sz="4" w:space="0" w:color="FFFFFF"/>
            </w:tcBorders>
          </w:tcPr>
          <w:p w14:paraId="77E71FDA" w14:textId="77777777" w:rsidR="001E0F8E" w:rsidRPr="009D7A51" w:rsidRDefault="001E0F8E" w:rsidP="001E0F8E">
            <w:pPr>
              <w:pStyle w:val="cTableText"/>
            </w:pPr>
          </w:p>
        </w:tc>
      </w:tr>
      <w:tr w:rsidR="001E0F8E" w:rsidRPr="009D7A51" w14:paraId="73F9BD2D" w14:textId="77777777" w:rsidTr="001E0F8E">
        <w:trPr>
          <w:cantSplit/>
        </w:trPr>
        <w:tc>
          <w:tcPr>
            <w:tcW w:w="6037" w:type="dxa"/>
            <w:tcBorders>
              <w:top w:val="single" w:sz="4" w:space="0" w:color="000000"/>
              <w:left w:val="single" w:sz="4" w:space="0" w:color="FFFFFF"/>
              <w:bottom w:val="single" w:sz="4" w:space="0" w:color="000000"/>
              <w:right w:val="single" w:sz="4" w:space="0" w:color="FFFFFF"/>
            </w:tcBorders>
            <w:hideMark/>
          </w:tcPr>
          <w:p w14:paraId="291674BD" w14:textId="77777777" w:rsidR="001E0F8E" w:rsidRPr="009D7A51" w:rsidRDefault="001E0F8E" w:rsidP="001E0F8E">
            <w:pPr>
              <w:pStyle w:val="cTableText"/>
            </w:pPr>
            <w:r w:rsidRPr="009D7A51">
              <w:t>CONTACT LENS REPLACEMENT</w:t>
            </w:r>
          </w:p>
        </w:tc>
        <w:tc>
          <w:tcPr>
            <w:tcW w:w="2790" w:type="dxa"/>
            <w:tcBorders>
              <w:top w:val="single" w:sz="4" w:space="0" w:color="000000"/>
              <w:left w:val="single" w:sz="4" w:space="0" w:color="FFFFFF"/>
              <w:bottom w:val="single" w:sz="4" w:space="0" w:color="000000"/>
              <w:right w:val="single" w:sz="4" w:space="0" w:color="FFFFFF"/>
            </w:tcBorders>
          </w:tcPr>
          <w:p w14:paraId="5D89366C" w14:textId="77777777" w:rsidR="001E0F8E" w:rsidRPr="009D7A51" w:rsidRDefault="001E0F8E" w:rsidP="001E0F8E">
            <w:pPr>
              <w:pStyle w:val="cTableText"/>
            </w:pPr>
          </w:p>
        </w:tc>
      </w:tr>
      <w:tr w:rsidR="001E0F8E" w:rsidRPr="009D7A51" w14:paraId="4E82C79D" w14:textId="77777777" w:rsidTr="001E0F8E">
        <w:trPr>
          <w:cantSplit/>
        </w:trPr>
        <w:tc>
          <w:tcPr>
            <w:tcW w:w="8827" w:type="dxa"/>
            <w:gridSpan w:val="2"/>
            <w:tcBorders>
              <w:top w:val="single" w:sz="4" w:space="0" w:color="000000"/>
              <w:left w:val="single" w:sz="4" w:space="0" w:color="FFFFFF"/>
              <w:bottom w:val="single" w:sz="4" w:space="0" w:color="000000"/>
              <w:right w:val="single" w:sz="4" w:space="0" w:color="FFFFFF"/>
            </w:tcBorders>
            <w:hideMark/>
          </w:tcPr>
          <w:p w14:paraId="4EDB4F6C" w14:textId="77777777" w:rsidR="001E0F8E" w:rsidRPr="009D7A51" w:rsidRDefault="001E0F8E" w:rsidP="001E0F8E">
            <w:pPr>
              <w:pStyle w:val="cTableText"/>
            </w:pPr>
            <w:r w:rsidRPr="009D7A51">
              <w:t>EYE PROSTHESIS</w:t>
            </w:r>
          </w:p>
        </w:tc>
      </w:tr>
    </w:tbl>
    <w:p w14:paraId="0A30A2A9" w14:textId="77777777" w:rsidR="009C552F" w:rsidRPr="009D7A51" w:rsidRDefault="009C552F" w:rsidP="001E0F8E">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12DD8" w:rsidRPr="009D7A51" w14:paraId="235D0E09" w14:textId="77777777" w:rsidTr="00F05DC4">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6DCF1F5" w14:textId="77777777" w:rsidR="00F12DD8" w:rsidRPr="009D7A51" w:rsidRDefault="00F12DD8" w:rsidP="00F05DC4">
            <w:pPr>
              <w:pStyle w:val="chead2"/>
              <w:keepNext/>
            </w:pPr>
            <w:r w:rsidRPr="009D7A51">
              <w:br w:type="page"/>
            </w:r>
            <w:bookmarkStart w:id="117" w:name="_Toc199331899"/>
            <w:r w:rsidRPr="009D7A51">
              <w:t>242.120</w:t>
            </w:r>
            <w:r w:rsidRPr="009D7A51">
              <w:tab/>
            </w:r>
            <w:r w:rsidR="00D81F77" w:rsidRPr="009D7A51">
              <w:t>Co-pays for Prescription of Services</w:t>
            </w:r>
            <w:bookmarkEnd w:id="117"/>
          </w:p>
        </w:tc>
        <w:tc>
          <w:tcPr>
            <w:tcW w:w="1238" w:type="dxa"/>
            <w:tcBorders>
              <w:top w:val="single" w:sz="2" w:space="0" w:color="FFFFFF"/>
              <w:left w:val="single" w:sz="6" w:space="0" w:color="FFFFFF"/>
              <w:bottom w:val="single" w:sz="2" w:space="0" w:color="FFFFFF"/>
              <w:right w:val="single" w:sz="2" w:space="0" w:color="FFFFFF"/>
            </w:tcBorders>
          </w:tcPr>
          <w:p w14:paraId="653AFF32" w14:textId="77777777" w:rsidR="00F12DD8" w:rsidRPr="009D7A51" w:rsidRDefault="00D81F77" w:rsidP="00F05DC4">
            <w:pPr>
              <w:pStyle w:val="cDate2"/>
              <w:keepNext/>
            </w:pPr>
            <w:r w:rsidRPr="009D7A51">
              <w:t>2-1-22</w:t>
            </w:r>
          </w:p>
        </w:tc>
      </w:tr>
    </w:tbl>
    <w:p w14:paraId="43F04630" w14:textId="77777777" w:rsidR="00B54486" w:rsidRPr="009D7A51" w:rsidRDefault="00B54486" w:rsidP="00B54486">
      <w:pPr>
        <w:pStyle w:val="ctext"/>
      </w:pPr>
      <w:r w:rsidRPr="009D7A51">
        <w:t>Co-pays apply to the following examination codes:</w:t>
      </w:r>
    </w:p>
    <w:p w14:paraId="73C16DE2" w14:textId="77777777" w:rsidR="00B54486" w:rsidRPr="009D7A51" w:rsidRDefault="00BE16B4" w:rsidP="00B54486">
      <w:pPr>
        <w:pStyle w:val="ctext"/>
        <w:rPr>
          <w:rStyle w:val="Hyperlink"/>
        </w:rPr>
      </w:pPr>
      <w:r w:rsidRPr="009D7A51">
        <w:rPr>
          <w:b/>
        </w:rPr>
        <w:fldChar w:fldCharType="begin"/>
      </w:r>
      <w:r w:rsidRPr="009D7A51">
        <w:rPr>
          <w:b/>
        </w:rPr>
        <w:instrText xml:space="preserve"> HYPERLINK "https://humanservices.arkansas.gov/wp-content/uploads/VISUAL_ProcCodes.xlsx" </w:instrText>
      </w:r>
      <w:r w:rsidRPr="009D7A51">
        <w:rPr>
          <w:b/>
        </w:rPr>
      </w:r>
      <w:r w:rsidRPr="009D7A51">
        <w:rPr>
          <w:b/>
        </w:rPr>
        <w:fldChar w:fldCharType="separate"/>
      </w:r>
      <w:r w:rsidR="00B54486" w:rsidRPr="009D7A51">
        <w:rPr>
          <w:rStyle w:val="Hyperlink"/>
        </w:rPr>
        <w:t>View or print the procedure codes for Vision services.</w:t>
      </w:r>
    </w:p>
    <w:p w14:paraId="5EA17E1F" w14:textId="77777777" w:rsidR="00F12DD8" w:rsidRPr="009D7A51" w:rsidRDefault="00BE16B4" w:rsidP="00F12DD8">
      <w:pPr>
        <w:pStyle w:val="ctext"/>
      </w:pPr>
      <w:r w:rsidRPr="009D7A51">
        <w:rPr>
          <w:b/>
        </w:rPr>
        <w:fldChar w:fldCharType="end"/>
      </w:r>
      <w:r w:rsidR="00B54486" w:rsidRPr="009D7A51">
        <w:t xml:space="preserve">Co-pays do not apply to codes </w:t>
      </w:r>
      <w:bookmarkStart w:id="118" w:name="_Hlk72316603"/>
      <w:r w:rsidR="00B54486" w:rsidRPr="009D7A51">
        <w:rPr>
          <w:b/>
        </w:rPr>
        <w:t>f</w:t>
      </w:r>
      <w:r w:rsidR="00B54486" w:rsidRPr="009D7A51">
        <w:t>or the fitting of spectacles</w:t>
      </w:r>
      <w:bookmarkEnd w:id="118"/>
      <w:r w:rsidR="00B54486" w:rsidRPr="009D7A5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6"/>
        <w:gridCol w:w="16"/>
        <w:gridCol w:w="1238"/>
      </w:tblGrid>
      <w:tr w:rsidR="00983E72" w:rsidRPr="009D7A51" w14:paraId="5A80D681" w14:textId="77777777" w:rsidTr="00F8188E">
        <w:tblPrEx>
          <w:tblCellMar>
            <w:top w:w="0" w:type="dxa"/>
            <w:bottom w:w="0" w:type="dxa"/>
          </w:tblCellMar>
        </w:tblPrEx>
        <w:trPr>
          <w:cantSplit/>
        </w:trPr>
        <w:tc>
          <w:tcPr>
            <w:tcW w:w="8122" w:type="dxa"/>
            <w:gridSpan w:val="2"/>
            <w:tcBorders>
              <w:top w:val="single" w:sz="2" w:space="0" w:color="FFFFFF"/>
              <w:left w:val="single" w:sz="2" w:space="0" w:color="FFFFFF"/>
              <w:bottom w:val="single" w:sz="2" w:space="0" w:color="FFFFFF"/>
              <w:right w:val="single" w:sz="6" w:space="0" w:color="FFFFFF"/>
            </w:tcBorders>
          </w:tcPr>
          <w:p w14:paraId="74705163" w14:textId="77777777" w:rsidR="00983E72" w:rsidRPr="009D7A51" w:rsidRDefault="00983E72" w:rsidP="00A45DAB">
            <w:pPr>
              <w:pStyle w:val="chead2"/>
            </w:pPr>
            <w:bookmarkStart w:id="119" w:name="_Toc24443537"/>
            <w:bookmarkStart w:id="120" w:name="_Toc33424824"/>
            <w:bookmarkStart w:id="121" w:name="_Toc199331900"/>
            <w:r w:rsidRPr="009D7A51">
              <w:t>242.310</w:t>
            </w:r>
            <w:r w:rsidRPr="009D7A51">
              <w:tab/>
            </w:r>
            <w:bookmarkEnd w:id="119"/>
            <w:bookmarkEnd w:id="120"/>
            <w:r w:rsidR="00001093" w:rsidRPr="009D7A51">
              <w:t>Reserved</w:t>
            </w:r>
            <w:bookmarkEnd w:id="121"/>
          </w:p>
        </w:tc>
        <w:tc>
          <w:tcPr>
            <w:tcW w:w="1238" w:type="dxa"/>
            <w:tcBorders>
              <w:top w:val="single" w:sz="2" w:space="0" w:color="FFFFFF"/>
              <w:left w:val="single" w:sz="6" w:space="0" w:color="FFFFFF"/>
              <w:bottom w:val="single" w:sz="2" w:space="0" w:color="FFFFFF"/>
              <w:right w:val="single" w:sz="2" w:space="0" w:color="FFFFFF"/>
            </w:tcBorders>
          </w:tcPr>
          <w:p w14:paraId="13EF32E9" w14:textId="77777777" w:rsidR="00983E72" w:rsidRPr="009D7A51" w:rsidRDefault="00983E72" w:rsidP="00F8188E">
            <w:pPr>
              <w:pStyle w:val="cDate2"/>
            </w:pPr>
          </w:p>
        </w:tc>
      </w:tr>
      <w:tr w:rsidR="0085484F" w:rsidRPr="009D7A51" w14:paraId="15D28324" w14:textId="77777777">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bottom w:w="0" w:type="dxa"/>
          </w:tblCellMar>
        </w:tblPrEx>
        <w:trPr>
          <w:cantSplit/>
        </w:trPr>
        <w:tc>
          <w:tcPr>
            <w:tcW w:w="8106" w:type="dxa"/>
          </w:tcPr>
          <w:p w14:paraId="1BB2061B" w14:textId="77777777" w:rsidR="0085484F" w:rsidRPr="009D7A51" w:rsidRDefault="0085484F" w:rsidP="00617224">
            <w:pPr>
              <w:pStyle w:val="chead2"/>
            </w:pPr>
            <w:bookmarkStart w:id="122" w:name="_Toc199331901"/>
            <w:r w:rsidRPr="009D7A51">
              <w:t>242.400</w:t>
            </w:r>
            <w:r w:rsidRPr="009D7A51">
              <w:tab/>
              <w:t>Special Billing Procedures</w:t>
            </w:r>
            <w:bookmarkEnd w:id="122"/>
            <w:r w:rsidRPr="009D7A51">
              <w:t xml:space="preserve"> </w:t>
            </w:r>
          </w:p>
        </w:tc>
        <w:tc>
          <w:tcPr>
            <w:tcW w:w="1254" w:type="dxa"/>
            <w:gridSpan w:val="2"/>
          </w:tcPr>
          <w:p w14:paraId="17A0FB39" w14:textId="77777777" w:rsidR="0085484F" w:rsidRPr="009D7A51" w:rsidRDefault="0085484F" w:rsidP="00617224">
            <w:pPr>
              <w:pStyle w:val="cDate2"/>
            </w:pPr>
          </w:p>
        </w:tc>
      </w:tr>
      <w:tr w:rsidR="005703D8" w:rsidRPr="009D7A51" w14:paraId="20AAE0EE" w14:textId="77777777" w:rsidTr="009346CA">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bottom w:w="0" w:type="dxa"/>
          </w:tblCellMar>
        </w:tblPrEx>
        <w:trPr>
          <w:cantSplit/>
        </w:trPr>
        <w:tc>
          <w:tcPr>
            <w:tcW w:w="8106" w:type="dxa"/>
          </w:tcPr>
          <w:p w14:paraId="47FDAFDA" w14:textId="77777777" w:rsidR="005703D8" w:rsidRPr="009D7A51" w:rsidRDefault="005703D8" w:rsidP="005703D8">
            <w:pPr>
              <w:pStyle w:val="chead2"/>
            </w:pPr>
            <w:bookmarkStart w:id="123" w:name="_Toc138131581"/>
            <w:bookmarkStart w:id="124" w:name="_Toc441058320"/>
            <w:bookmarkStart w:id="125" w:name="_Toc199331902"/>
            <w:r w:rsidRPr="009D7A51">
              <w:t>242.410</w:t>
            </w:r>
            <w:r w:rsidRPr="009D7A51">
              <w:tab/>
              <w:t xml:space="preserve">Billing for Medicare/Medicaid </w:t>
            </w:r>
            <w:proofErr w:type="gramStart"/>
            <w:r w:rsidRPr="009D7A51">
              <w:t>Dually-Eligible</w:t>
            </w:r>
            <w:proofErr w:type="gramEnd"/>
            <w:r w:rsidRPr="009D7A51">
              <w:t xml:space="preserve"> </w:t>
            </w:r>
            <w:bookmarkEnd w:id="123"/>
            <w:r w:rsidRPr="009D7A51">
              <w:t>Beneficiaries</w:t>
            </w:r>
            <w:bookmarkEnd w:id="124"/>
            <w:bookmarkEnd w:id="125"/>
          </w:p>
        </w:tc>
        <w:tc>
          <w:tcPr>
            <w:tcW w:w="1254" w:type="dxa"/>
            <w:gridSpan w:val="2"/>
          </w:tcPr>
          <w:p w14:paraId="6A502BBD" w14:textId="77777777" w:rsidR="005703D8" w:rsidRPr="009D7A51" w:rsidRDefault="005703D8" w:rsidP="005703D8">
            <w:pPr>
              <w:pStyle w:val="cDate2"/>
            </w:pPr>
            <w:smartTag w:uri="urn:schemas-microsoft-com:office:smarttags" w:element="date">
              <w:smartTagPr>
                <w:attr w:name="Month" w:val="12"/>
                <w:attr w:name="Day" w:val="1"/>
                <w:attr w:name="Year" w:val="2006"/>
              </w:smartTagPr>
              <w:r w:rsidRPr="009D7A51">
                <w:t>12-1-06</w:t>
              </w:r>
            </w:smartTag>
          </w:p>
        </w:tc>
      </w:tr>
    </w:tbl>
    <w:p w14:paraId="5683DA2F" w14:textId="77777777" w:rsidR="005703D8" w:rsidRPr="009D7A51" w:rsidRDefault="005703D8" w:rsidP="009346CA">
      <w:pPr>
        <w:pStyle w:val="ctext"/>
      </w:pPr>
      <w:r w:rsidRPr="009D7A51">
        <w:t xml:space="preserve">If Medicare denies a claim for services provided to a beneficiary eligible for both Medicare and Medicaid, the claim will not cross over to Medicaid automatically.  Therefore, the </w:t>
      </w:r>
      <w:r w:rsidR="00001093" w:rsidRPr="009D7A51">
        <w:t>CMS-1500</w:t>
      </w:r>
      <w:r w:rsidRPr="009D7A51">
        <w:t xml:space="preserve"> claim form should be submitted to the Arkansas Medicaid fiscal agent along with the Explanation of Medicare Benefits (EOMB) explaining the reason for Medicare’s denial.</w:t>
      </w:r>
    </w:p>
    <w:p w14:paraId="1B56211B" w14:textId="77777777" w:rsidR="005703D8" w:rsidRPr="009D7A51" w:rsidRDefault="005703D8" w:rsidP="009346CA">
      <w:pPr>
        <w:pStyle w:val="Note"/>
        <w:tabs>
          <w:tab w:val="clear" w:pos="1710"/>
        </w:tabs>
        <w:ind w:left="1260" w:hanging="900"/>
      </w:pPr>
      <w:r w:rsidRPr="009D7A51">
        <w:t>NOTE:</w:t>
      </w:r>
      <w:r w:rsidRPr="009D7A51">
        <w:tab/>
        <w:t>A copy of the Medicare EOMB must be attached to the claim and must match the dates of service on the claim form.</w:t>
      </w:r>
    </w:p>
    <w:p w14:paraId="5240CF17" w14:textId="77777777" w:rsidR="005703D8" w:rsidRPr="009D7A51" w:rsidRDefault="005703D8" w:rsidP="005703D8">
      <w:pPr>
        <w:pStyle w:val="ctext"/>
      </w:pPr>
      <w:r w:rsidRPr="009D7A51">
        <w:t>Medicare/Medicaid crossover claims are discussed in Section III of this manual.</w:t>
      </w: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06"/>
        <w:gridCol w:w="1254"/>
      </w:tblGrid>
      <w:tr w:rsidR="005703D8" w:rsidRPr="009D7A51" w14:paraId="5C8793EB" w14:textId="77777777" w:rsidTr="009346CA">
        <w:tblPrEx>
          <w:tblCellMar>
            <w:top w:w="0" w:type="dxa"/>
            <w:bottom w:w="0" w:type="dxa"/>
          </w:tblCellMar>
        </w:tblPrEx>
        <w:trPr>
          <w:cantSplit/>
        </w:trPr>
        <w:tc>
          <w:tcPr>
            <w:tcW w:w="8106" w:type="dxa"/>
          </w:tcPr>
          <w:p w14:paraId="1B558DBC" w14:textId="77777777" w:rsidR="005703D8" w:rsidRPr="009D7A51" w:rsidRDefault="005703D8" w:rsidP="005703D8">
            <w:pPr>
              <w:pStyle w:val="chead2"/>
            </w:pPr>
            <w:bookmarkStart w:id="126" w:name="_Toc441058321"/>
            <w:bookmarkStart w:id="127" w:name="_Toc199331903"/>
            <w:r w:rsidRPr="009D7A51">
              <w:t>242.420</w:t>
            </w:r>
            <w:r w:rsidRPr="009D7A51">
              <w:tab/>
              <w:t>Billing Instructions for Contact Lenses</w:t>
            </w:r>
            <w:bookmarkEnd w:id="126"/>
            <w:bookmarkEnd w:id="127"/>
            <w:r w:rsidRPr="009D7A51">
              <w:t xml:space="preserve"> </w:t>
            </w:r>
          </w:p>
        </w:tc>
        <w:tc>
          <w:tcPr>
            <w:tcW w:w="1254" w:type="dxa"/>
          </w:tcPr>
          <w:p w14:paraId="3C2B19BF" w14:textId="77777777" w:rsidR="005703D8" w:rsidRPr="009D7A51" w:rsidRDefault="005703D8" w:rsidP="005703D8">
            <w:pPr>
              <w:pStyle w:val="cDate2"/>
            </w:pPr>
            <w:smartTag w:uri="urn:schemas-microsoft-com:office:smarttags" w:element="date">
              <w:smartTagPr>
                <w:attr w:name="Year" w:val="2003"/>
                <w:attr w:name="Day" w:val="13"/>
                <w:attr w:name="Month" w:val="10"/>
              </w:smartTagPr>
              <w:r w:rsidRPr="009D7A51">
                <w:t>10-13-03</w:t>
              </w:r>
            </w:smartTag>
          </w:p>
        </w:tc>
      </w:tr>
    </w:tbl>
    <w:p w14:paraId="58428EEA" w14:textId="039940EA" w:rsidR="005703D8" w:rsidRPr="009D7A51" w:rsidRDefault="005703D8" w:rsidP="009346CA">
      <w:pPr>
        <w:pStyle w:val="CLETTERED"/>
      </w:pPr>
      <w:r w:rsidRPr="009D7A51">
        <w:lastRenderedPageBreak/>
        <w:t>A.</w:t>
      </w:r>
      <w:r w:rsidRPr="009D7A51">
        <w:tab/>
        <w:t xml:space="preserve">All requests for contact lenses require prior authorization.  Mail the request for prior authorization to the Division of Medical Services, Medical Assistance Unit.  </w:t>
      </w:r>
      <w:hyperlink r:id="rId37" w:history="1">
        <w:r w:rsidRPr="009D7A51">
          <w:rPr>
            <w:rStyle w:val="Hyperlink"/>
          </w:rPr>
          <w:t>View or print Division of Medical Service</w:t>
        </w:r>
        <w:r w:rsidRPr="009D7A51">
          <w:rPr>
            <w:rStyle w:val="Hyperlink"/>
          </w:rPr>
          <w:t>s</w:t>
        </w:r>
        <w:r w:rsidRPr="009D7A51">
          <w:rPr>
            <w:rStyle w:val="Hyperlink"/>
          </w:rPr>
          <w:t xml:space="preserve">, Medical Assistance Unit </w:t>
        </w:r>
        <w:r w:rsidRPr="009D7A51">
          <w:rPr>
            <w:rStyle w:val="Hyperlink"/>
          </w:rPr>
          <w:t>c</w:t>
        </w:r>
        <w:r w:rsidRPr="009D7A51">
          <w:rPr>
            <w:rStyle w:val="Hyperlink"/>
          </w:rPr>
          <w:t>ontact i</w:t>
        </w:r>
        <w:r w:rsidRPr="009D7A51">
          <w:rPr>
            <w:rStyle w:val="Hyperlink"/>
          </w:rPr>
          <w:t>n</w:t>
        </w:r>
        <w:r w:rsidRPr="009D7A51">
          <w:rPr>
            <w:rStyle w:val="Hyperlink"/>
          </w:rPr>
          <w:t>formation</w:t>
        </w:r>
      </w:hyperlink>
      <w:r w:rsidRPr="009D7A51">
        <w:t>.</w:t>
      </w:r>
    </w:p>
    <w:p w14:paraId="0C717A1B" w14:textId="77777777" w:rsidR="005703D8" w:rsidRPr="009D7A51" w:rsidRDefault="005703D8" w:rsidP="009346CA">
      <w:pPr>
        <w:pStyle w:val="CLETTERED"/>
      </w:pPr>
      <w:r w:rsidRPr="009D7A51">
        <w:t>B.</w:t>
      </w:r>
      <w:r w:rsidRPr="009D7A51">
        <w:tab/>
        <w:t>When Medical Assistance authorizes contact lens, Medical Assistance staff will complete a prior authorization form, MAP-8, and assign a prior authorization number.  The MAP-8 will be mailed to the provider advising of the approval.  The provider must use the prior authorization control number when billing for contact lens.</w:t>
      </w:r>
    </w:p>
    <w:p w14:paraId="78662224" w14:textId="7749B592" w:rsidR="005703D8" w:rsidRPr="009D7A51" w:rsidRDefault="005703D8" w:rsidP="009346CA">
      <w:pPr>
        <w:pStyle w:val="CLETTERED"/>
      </w:pPr>
      <w:r w:rsidRPr="009D7A51">
        <w:t>C.</w:t>
      </w:r>
      <w:r w:rsidRPr="009D7A51">
        <w:tab/>
        <w:t xml:space="preserve">The visual examination is reimbursable even if the contact lenses are not authorized.  The provider may bill for the visual exam electronically on the </w:t>
      </w:r>
      <w:r w:rsidR="00001093" w:rsidRPr="009D7A51">
        <w:t>CMS-1500</w:t>
      </w:r>
      <w:r w:rsidRPr="009D7A51">
        <w:t xml:space="preserve"> format or submit the </w:t>
      </w:r>
      <w:r w:rsidR="00001093" w:rsidRPr="009D7A51">
        <w:t>CMS-1500</w:t>
      </w:r>
      <w:r w:rsidRPr="009D7A51">
        <w:t xml:space="preserve"> form to the Claims Department.  </w:t>
      </w:r>
      <w:hyperlink r:id="rId38" w:history="1">
        <w:r w:rsidRPr="009D7A51">
          <w:rPr>
            <w:rStyle w:val="Hyperlink"/>
          </w:rPr>
          <w:t xml:space="preserve">View or print </w:t>
        </w:r>
        <w:r w:rsidRPr="009D7A51">
          <w:rPr>
            <w:rStyle w:val="Hyperlink"/>
          </w:rPr>
          <w:t>Cla</w:t>
        </w:r>
        <w:r w:rsidRPr="009D7A51">
          <w:rPr>
            <w:rStyle w:val="Hyperlink"/>
          </w:rPr>
          <w:t>i</w:t>
        </w:r>
        <w:r w:rsidRPr="009D7A51">
          <w:rPr>
            <w:rStyle w:val="Hyperlink"/>
          </w:rPr>
          <w:t>ms Department c</w:t>
        </w:r>
        <w:r w:rsidRPr="009D7A51">
          <w:rPr>
            <w:rStyle w:val="Hyperlink"/>
          </w:rPr>
          <w:t>ontact information</w:t>
        </w:r>
      </w:hyperlink>
      <w:r w:rsidRPr="009D7A51">
        <w:t>.</w:t>
      </w:r>
    </w:p>
    <w:p w14:paraId="0138B219" w14:textId="77777777" w:rsidR="005703D8" w:rsidRPr="009D7A51" w:rsidRDefault="005703D8" w:rsidP="009346CA">
      <w:pPr>
        <w:pStyle w:val="CLETTERED"/>
      </w:pPr>
      <w:r w:rsidRPr="009D7A51">
        <w:t>D.</w:t>
      </w:r>
      <w:r w:rsidRPr="009D7A51">
        <w:tab/>
        <w:t xml:space="preserve">The provider may bill for the fitting and supplying of contact lenses.  A copy of the contact lens invoice must be submitted with claim form </w:t>
      </w:r>
      <w:r w:rsidR="00001093" w:rsidRPr="009D7A51">
        <w:t>CMS-1500</w:t>
      </w:r>
      <w:r w:rsidRPr="009D7A51">
        <w:t>.  The Medicaid Program will reimburse the Medicaid allowable for contact lenses as a package deal, which may include:</w:t>
      </w:r>
    </w:p>
    <w:p w14:paraId="771515A9" w14:textId="77777777" w:rsidR="005703D8" w:rsidRPr="009D7A51" w:rsidRDefault="005703D8" w:rsidP="009346CA">
      <w:pPr>
        <w:pStyle w:val="cnumbered"/>
      </w:pPr>
      <w:r w:rsidRPr="009D7A51">
        <w:t>1.</w:t>
      </w:r>
      <w:r w:rsidRPr="009D7A51">
        <w:tab/>
        <w:t>Prescription services.</w:t>
      </w:r>
    </w:p>
    <w:p w14:paraId="7EECF784" w14:textId="77777777" w:rsidR="005703D8" w:rsidRPr="009D7A51" w:rsidRDefault="005703D8" w:rsidP="009346CA">
      <w:pPr>
        <w:pStyle w:val="cnumbered"/>
      </w:pPr>
      <w:r w:rsidRPr="009D7A51">
        <w:t>2.</w:t>
      </w:r>
      <w:r w:rsidRPr="009D7A51">
        <w:tab/>
        <w:t>Supply and fitting of contact lenses.</w:t>
      </w:r>
    </w:p>
    <w:p w14:paraId="63E089BF" w14:textId="77777777" w:rsidR="005703D8" w:rsidRPr="009D7A51" w:rsidRDefault="005703D8" w:rsidP="009346CA">
      <w:pPr>
        <w:pStyle w:val="cnumbered"/>
      </w:pPr>
      <w:r w:rsidRPr="009D7A51">
        <w:t>3.</w:t>
      </w:r>
      <w:r w:rsidRPr="009D7A51">
        <w:tab/>
        <w:t>Contact lens care kit and sterilizer.</w:t>
      </w:r>
    </w:p>
    <w:p w14:paraId="38115BE6" w14:textId="77777777" w:rsidR="005703D8" w:rsidRPr="009D7A51" w:rsidRDefault="005703D8" w:rsidP="009346CA">
      <w:pPr>
        <w:pStyle w:val="cnumbered"/>
      </w:pPr>
      <w:r w:rsidRPr="009D7A51">
        <w:t>4.</w:t>
      </w:r>
      <w:r w:rsidRPr="009D7A51">
        <w:tab/>
        <w:t>Four (4) follow-up visits.</w:t>
      </w:r>
    </w:p>
    <w:p w14:paraId="0CFF5588" w14:textId="77777777" w:rsidR="005703D8" w:rsidRPr="009D7A51" w:rsidRDefault="005703D8" w:rsidP="009346CA">
      <w:pPr>
        <w:pStyle w:val="cnumbered"/>
      </w:pPr>
      <w:r w:rsidRPr="009D7A51">
        <w:t>5.</w:t>
      </w:r>
      <w:r w:rsidRPr="009D7A51">
        <w:tab/>
        <w:t>All items specified with the procedure codes.  See Section 242.100 for procedure code list.</w:t>
      </w:r>
    </w:p>
    <w:p w14:paraId="3A81071E" w14:textId="5BF25F72" w:rsidR="005703D8" w:rsidRPr="009D7A51" w:rsidRDefault="005703D8" w:rsidP="009346CA">
      <w:pPr>
        <w:pStyle w:val="CLETTERED"/>
      </w:pPr>
      <w:r w:rsidRPr="009D7A51">
        <w:tab/>
        <w:t xml:space="preserve">Mail form </w:t>
      </w:r>
      <w:r w:rsidR="00001093" w:rsidRPr="009D7A51">
        <w:t>CMS-1500</w:t>
      </w:r>
      <w:r w:rsidRPr="009D7A51">
        <w:t xml:space="preserve"> for contact lenses directly to the Claims Department or file electronically on the </w:t>
      </w:r>
      <w:r w:rsidR="00001093" w:rsidRPr="009D7A51">
        <w:t>CMS-1500</w:t>
      </w:r>
      <w:r w:rsidRPr="009D7A51">
        <w:t xml:space="preserve"> format.  </w:t>
      </w:r>
      <w:hyperlink r:id="rId39" w:history="1">
        <w:r w:rsidRPr="009D7A51">
          <w:rPr>
            <w:rStyle w:val="Hyperlink"/>
          </w:rPr>
          <w:t xml:space="preserve">View a </w:t>
        </w:r>
        <w:r w:rsidR="00001093" w:rsidRPr="009D7A51">
          <w:rPr>
            <w:rStyle w:val="Hyperlink"/>
          </w:rPr>
          <w:t>CMS-1500</w:t>
        </w:r>
        <w:r w:rsidRPr="009D7A51">
          <w:rPr>
            <w:rStyle w:val="Hyperlink"/>
          </w:rPr>
          <w:t xml:space="preserve"> sample form</w:t>
        </w:r>
      </w:hyperlink>
      <w:r w:rsidRPr="009D7A51">
        <w:t xml:space="preserve">.  </w:t>
      </w:r>
      <w:hyperlink r:id="rId40" w:history="1">
        <w:r w:rsidRPr="009D7A51">
          <w:rPr>
            <w:rStyle w:val="Hyperlink"/>
          </w:rPr>
          <w:t>View or print Claims Department contact information</w:t>
        </w:r>
      </w:hyperlink>
      <w:r w:rsidRPr="009D7A51">
        <w:t>.</w:t>
      </w:r>
    </w:p>
    <w:p w14:paraId="02FAD308" w14:textId="77777777" w:rsidR="005703D8" w:rsidRPr="009D7A51" w:rsidRDefault="005703D8" w:rsidP="009346CA">
      <w:pPr>
        <w:pStyle w:val="CLETTERED"/>
      </w:pPr>
      <w:r w:rsidRPr="009D7A51">
        <w:t>E.</w:t>
      </w:r>
      <w:r w:rsidRPr="009D7A51">
        <w:tab/>
        <w:t>If the request for contact lenses is denied, a letter will be forwarded to the provider indicating the reason for denial.</w:t>
      </w:r>
    </w:p>
    <w:p w14:paraId="6B7E982B" w14:textId="61EE9724" w:rsidR="005703D8" w:rsidRPr="009D7A51" w:rsidRDefault="005703D8" w:rsidP="009346CA">
      <w:pPr>
        <w:pStyle w:val="CLETTERED"/>
      </w:pPr>
      <w:r w:rsidRPr="009D7A51">
        <w:t>F.</w:t>
      </w:r>
      <w:r w:rsidRPr="009D7A51">
        <w:tab/>
        <w:t xml:space="preserve">If the doctor’s prescription does not fall within the “Coverage and Limitations” outlined in Section 213.200, the claim will require prior authorization based on a manual review by the visual consultant of the Medicaid Medical Assistance Unit.  In these cases, the doctor should complete the claim form, including the prescription form provided by the optical contractor, retain a copy of each for his or her file and forward the originals to the Division of Medical Services, Medical Assistance Unit.  </w:t>
      </w:r>
      <w:hyperlink r:id="rId41" w:history="1">
        <w:r w:rsidRPr="009D7A51">
          <w:rPr>
            <w:rStyle w:val="Hyperlink"/>
          </w:rPr>
          <w:t>Vie</w:t>
        </w:r>
        <w:r w:rsidRPr="009D7A51">
          <w:rPr>
            <w:rStyle w:val="Hyperlink"/>
          </w:rPr>
          <w:t>w</w:t>
        </w:r>
        <w:r w:rsidRPr="009D7A51">
          <w:rPr>
            <w:rStyle w:val="Hyperlink"/>
          </w:rPr>
          <w:t xml:space="preserve"> </w:t>
        </w:r>
        <w:r w:rsidRPr="009D7A51">
          <w:rPr>
            <w:rStyle w:val="Hyperlink"/>
          </w:rPr>
          <w:t>o</w:t>
        </w:r>
        <w:r w:rsidRPr="009D7A51">
          <w:rPr>
            <w:rStyle w:val="Hyperlink"/>
          </w:rPr>
          <w:t>r</w:t>
        </w:r>
        <w:r w:rsidRPr="009D7A51">
          <w:rPr>
            <w:rStyle w:val="Hyperlink"/>
          </w:rPr>
          <w:t xml:space="preserve"> print Division of Medical Services</w:t>
        </w:r>
        <w:r w:rsidRPr="009D7A51">
          <w:rPr>
            <w:rStyle w:val="Hyperlink"/>
          </w:rPr>
          <w:t xml:space="preserve">, Medical </w:t>
        </w:r>
        <w:r w:rsidRPr="009D7A51">
          <w:rPr>
            <w:rStyle w:val="Hyperlink"/>
          </w:rPr>
          <w:t>Assistance Unit contact i</w:t>
        </w:r>
        <w:r w:rsidRPr="009D7A51">
          <w:rPr>
            <w:rStyle w:val="Hyperlink"/>
          </w:rPr>
          <w:t>n</w:t>
        </w:r>
        <w:r w:rsidRPr="009D7A51">
          <w:rPr>
            <w:rStyle w:val="Hyperlink"/>
          </w:rPr>
          <w:t>formation</w:t>
        </w:r>
      </w:hyperlink>
      <w:r w:rsidRPr="009D7A51">
        <w:t>.</w:t>
      </w:r>
    </w:p>
    <w:p w14:paraId="72A0A7A6" w14:textId="77777777" w:rsidR="005703D8" w:rsidRPr="009D7A51" w:rsidRDefault="005703D8" w:rsidP="009346CA">
      <w:pPr>
        <w:pStyle w:val="CLETTERED"/>
      </w:pPr>
      <w:r w:rsidRPr="009D7A51">
        <w:tab/>
        <w:t>The visual consultant will review the claim.  The result of this review will be one of the following:</w:t>
      </w:r>
    </w:p>
    <w:p w14:paraId="184C9028" w14:textId="77777777" w:rsidR="005703D8" w:rsidRPr="009D7A51" w:rsidRDefault="005703D8" w:rsidP="009346CA">
      <w:pPr>
        <w:pStyle w:val="cnumbered"/>
      </w:pPr>
      <w:r w:rsidRPr="009D7A51">
        <w:t>1.</w:t>
      </w:r>
      <w:r w:rsidRPr="009D7A51">
        <w:tab/>
        <w:t>If the consultant approves the prescription, he or she will so note on the claim.  The Medical Assistance staff will then forward the prescription form to the optical lab for processing.  The original claim form will be forwarded immediately to the Arkansas Medicaid fiscal agent for the processing required to pay the doctor for examination and prescription services.</w:t>
      </w:r>
    </w:p>
    <w:p w14:paraId="4C4303F4" w14:textId="77777777" w:rsidR="005703D8" w:rsidRPr="009D7A51" w:rsidRDefault="005703D8" w:rsidP="009346CA">
      <w:pPr>
        <w:pStyle w:val="cnumbered"/>
      </w:pPr>
      <w:r w:rsidRPr="009D7A51">
        <w:t>2.</w:t>
      </w:r>
      <w:r w:rsidRPr="009D7A51">
        <w:tab/>
        <w:t>If the consultant denies the prescription, he or she will so note on the claim and route it to the Arkansas Medicaid fiscal agent for processing.  The resulting RA should reflect payment for the examination service and denial of the prescription service.</w:t>
      </w:r>
    </w:p>
    <w:p w14:paraId="41FB9509" w14:textId="77777777" w:rsidR="005703D8" w:rsidRPr="009D7A51" w:rsidRDefault="005703D8" w:rsidP="009346CA">
      <w:pPr>
        <w:pStyle w:val="Note"/>
      </w:pPr>
      <w:r w:rsidRPr="009D7A51">
        <w:t>NOTE:</w:t>
      </w:r>
      <w:r w:rsidRPr="009D7A51">
        <w:tab/>
        <w:t>The optical lab will not process claim work orders for prescriptions outside the limits outlined in Section 213.200 unless the approval of the Medicaid visual consultant is noted.</w:t>
      </w:r>
    </w:p>
    <w:p w14:paraId="6B915B99" w14:textId="77777777" w:rsidR="005703D8" w:rsidRPr="009D7A51" w:rsidRDefault="005703D8" w:rsidP="005703D8">
      <w:pPr>
        <w:pStyle w:val="CLETTERED"/>
      </w:pPr>
      <w:r w:rsidRPr="009D7A51">
        <w:lastRenderedPageBreak/>
        <w:tab/>
        <w:t>Providers MUST ensure that information provided for prescription services is accurate and neatly entered in the required blocks.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166"/>
      </w:tblGrid>
      <w:tr w:rsidR="005703D8" w:rsidRPr="009D7A51" w14:paraId="66A2D42A" w14:textId="77777777" w:rsidTr="009346CA">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273FAE9" w14:textId="77777777" w:rsidR="005703D8" w:rsidRPr="009D7A51" w:rsidRDefault="005703D8" w:rsidP="005703D8">
            <w:pPr>
              <w:pStyle w:val="chead2"/>
            </w:pPr>
            <w:bookmarkStart w:id="128" w:name="_Toc24443543"/>
            <w:bookmarkStart w:id="129" w:name="_Toc33424830"/>
            <w:bookmarkStart w:id="130" w:name="_Toc144104982"/>
            <w:bookmarkStart w:id="131" w:name="_Toc441058322"/>
            <w:bookmarkStart w:id="132" w:name="_Toc199331904"/>
            <w:r w:rsidRPr="009D7A51">
              <w:t>242.430</w:t>
            </w:r>
            <w:r w:rsidRPr="009D7A51">
              <w:tab/>
              <w:t>Special Processing Procedures</w:t>
            </w:r>
            <w:bookmarkEnd w:id="128"/>
            <w:bookmarkEnd w:id="129"/>
            <w:bookmarkEnd w:id="130"/>
            <w:bookmarkEnd w:id="131"/>
            <w:bookmarkEnd w:id="132"/>
          </w:p>
        </w:tc>
        <w:tc>
          <w:tcPr>
            <w:tcW w:w="1166" w:type="dxa"/>
            <w:tcBorders>
              <w:top w:val="single" w:sz="2" w:space="0" w:color="FFFFFF"/>
              <w:left w:val="single" w:sz="6" w:space="0" w:color="FFFFFF"/>
              <w:bottom w:val="single" w:sz="2" w:space="0" w:color="FFFFFF"/>
              <w:right w:val="single" w:sz="2" w:space="0" w:color="FFFFFF"/>
            </w:tcBorders>
          </w:tcPr>
          <w:p w14:paraId="766DA012" w14:textId="77777777" w:rsidR="005703D8" w:rsidRPr="009D7A51" w:rsidRDefault="00087590" w:rsidP="005703D8">
            <w:pPr>
              <w:pStyle w:val="cDate2"/>
            </w:pPr>
            <w:r w:rsidRPr="009D7A51">
              <w:t>8-1-21</w:t>
            </w:r>
          </w:p>
        </w:tc>
      </w:tr>
    </w:tbl>
    <w:p w14:paraId="0FB23264" w14:textId="77777777" w:rsidR="00087590" w:rsidRPr="009D7A51" w:rsidRDefault="00087590" w:rsidP="00087590">
      <w:pPr>
        <w:pStyle w:val="ctext"/>
      </w:pPr>
      <w:r w:rsidRPr="009D7A51">
        <w:t>The CMS-1500 claim form must be used by the ophthalmologists or optometrists when billing the Medicaid Program for non-prescription services.  Submit the completed claim form to the Arkansas Medicaid fiscal agent.</w:t>
      </w:r>
    </w:p>
    <w:p w14:paraId="4243E5B8" w14:textId="34337FC3" w:rsidR="00087590" w:rsidRPr="009D7A51" w:rsidRDefault="00087590" w:rsidP="00087590">
      <w:pPr>
        <w:pStyle w:val="ctext"/>
        <w:rPr>
          <w:rStyle w:val="Hyperlink"/>
        </w:rPr>
      </w:pPr>
      <w:r w:rsidRPr="009D7A51">
        <w:t>If prescription services are required and are within the allowable limits outlined in Section 213.200, the provider must complete the prescription form provided by the optical contractor.  Visual Care providers who submit claims electronically must submit a copy of the eligibility verification for the date on which the service is being provided along with the prescription form to the optical contractor for processing.  The printout will provide verification of the beneficiary’s eligibility, last visual exam date and last optical prescription date. (</w:t>
      </w:r>
      <w:proofErr w:type="gramStart"/>
      <w:r w:rsidRPr="009D7A51">
        <w:t>A photocopy of the beneficiary’s plastic identification card will not be accepted by the optical contractor</w:t>
      </w:r>
      <w:proofErr w:type="gramEnd"/>
      <w:r w:rsidRPr="009D7A51">
        <w:t xml:space="preserve">.) The prescription form and the eligibility verification can be sent to the optical contractor. </w:t>
      </w:r>
      <w:hyperlink r:id="rId42" w:history="1">
        <w:r w:rsidRPr="009D7A51">
          <w:rPr>
            <w:rStyle w:val="Hyperlink"/>
          </w:rPr>
          <w:t>View or print the DHS Designated Optical Contractor contact information.</w:t>
        </w:r>
      </w:hyperlink>
    </w:p>
    <w:p w14:paraId="41D090F2" w14:textId="77777777" w:rsidR="005703D8" w:rsidRPr="009D7A51" w:rsidRDefault="00087590" w:rsidP="005703D8">
      <w:pPr>
        <w:pStyle w:val="ctext"/>
      </w:pPr>
      <w:r w:rsidRPr="009D7A51">
        <w:t>If the copy of the eligibility on the date of service is not verified, and/or the benefit has been exhausted, the optical contractor will not fill the prescription and will return the claim to the 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50E13" w:rsidRPr="009D7A51" w14:paraId="1500C5A0" w14:textId="77777777" w:rsidTr="00F8188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9556A3A" w14:textId="77777777" w:rsidR="00E50E13" w:rsidRPr="009D7A51" w:rsidRDefault="00E50E13" w:rsidP="00E50E13">
            <w:pPr>
              <w:pStyle w:val="chead2"/>
            </w:pPr>
            <w:bookmarkStart w:id="133" w:name="_Toc199331905"/>
            <w:r w:rsidRPr="009D7A51">
              <w:t>242.440</w:t>
            </w:r>
            <w:r w:rsidRPr="009D7A51">
              <w:tab/>
              <w:t>ICD Diagnosis Codes</w:t>
            </w:r>
            <w:bookmarkEnd w:id="133"/>
          </w:p>
        </w:tc>
        <w:tc>
          <w:tcPr>
            <w:tcW w:w="1238" w:type="dxa"/>
            <w:tcBorders>
              <w:top w:val="single" w:sz="2" w:space="0" w:color="FFFFFF"/>
              <w:left w:val="single" w:sz="6" w:space="0" w:color="FFFFFF"/>
              <w:bottom w:val="single" w:sz="2" w:space="0" w:color="FFFFFF"/>
              <w:right w:val="single" w:sz="2" w:space="0" w:color="FFFFFF"/>
            </w:tcBorders>
          </w:tcPr>
          <w:p w14:paraId="5CD93CDD" w14:textId="77777777" w:rsidR="00E50E13" w:rsidRPr="009D7A51" w:rsidRDefault="00E50E13" w:rsidP="00E50E13">
            <w:pPr>
              <w:pStyle w:val="cDate2"/>
            </w:pPr>
            <w:r w:rsidRPr="009D7A51">
              <w:t>9-1-14</w:t>
            </w:r>
          </w:p>
        </w:tc>
      </w:tr>
    </w:tbl>
    <w:p w14:paraId="59AA4EB6" w14:textId="77777777" w:rsidR="00E50E13" w:rsidRPr="009D7A51" w:rsidRDefault="00E50E13" w:rsidP="00E50E13">
      <w:pPr>
        <w:pStyle w:val="ctext"/>
      </w:pPr>
      <w:r w:rsidRPr="009D7A51">
        <w:t>The primary diagnosis describing the reason for treatment must be entered on the claim with its ICD code.  The secondary diagnosis is optional.  Refer to the latest edition of the ICD Expert for Physicians publication for the appropriate diagnosis code.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5484F" w:rsidRPr="009D7A51" w14:paraId="2D6E203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59A6FCF" w14:textId="77777777" w:rsidR="0085484F" w:rsidRPr="009D7A51" w:rsidRDefault="0085484F" w:rsidP="00A223AA">
            <w:pPr>
              <w:pStyle w:val="chead2"/>
            </w:pPr>
            <w:bookmarkStart w:id="134" w:name="_Toc199331906"/>
            <w:r w:rsidRPr="009D7A51">
              <w:t>243.000</w:t>
            </w:r>
            <w:r w:rsidRPr="009D7A51">
              <w:tab/>
              <w:t>CMS-1500 Billing Procedures</w:t>
            </w:r>
            <w:bookmarkEnd w:id="134"/>
          </w:p>
        </w:tc>
        <w:tc>
          <w:tcPr>
            <w:tcW w:w="1238" w:type="dxa"/>
            <w:tcBorders>
              <w:top w:val="single" w:sz="2" w:space="0" w:color="FFFFFF"/>
              <w:left w:val="single" w:sz="6" w:space="0" w:color="FFFFFF"/>
              <w:bottom w:val="single" w:sz="2" w:space="0" w:color="FFFFFF"/>
              <w:right w:val="single" w:sz="2" w:space="0" w:color="FFFFFF"/>
            </w:tcBorders>
          </w:tcPr>
          <w:p w14:paraId="40C05448" w14:textId="77777777" w:rsidR="0085484F" w:rsidRPr="009D7A51" w:rsidRDefault="0085484F" w:rsidP="00A223AA">
            <w:pPr>
              <w:pStyle w:val="cDate2"/>
            </w:pPr>
          </w:p>
        </w:tc>
      </w:tr>
      <w:tr w:rsidR="0085484F" w:rsidRPr="009D7A51" w14:paraId="5CBFA69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4D640C1" w14:textId="77777777" w:rsidR="0085484F" w:rsidRPr="009D7A51" w:rsidRDefault="0085484F" w:rsidP="00A223AA">
            <w:pPr>
              <w:pStyle w:val="chead2"/>
            </w:pPr>
            <w:bookmarkStart w:id="135" w:name="_Toc199331907"/>
            <w:r w:rsidRPr="009D7A51">
              <w:t>243.100</w:t>
            </w:r>
            <w:r w:rsidRPr="009D7A51">
              <w:tab/>
              <w:t>Visual Care Procedure Codes</w:t>
            </w:r>
            <w:bookmarkEnd w:id="135"/>
          </w:p>
        </w:tc>
        <w:tc>
          <w:tcPr>
            <w:tcW w:w="1238" w:type="dxa"/>
            <w:tcBorders>
              <w:top w:val="single" w:sz="2" w:space="0" w:color="FFFFFF"/>
              <w:left w:val="single" w:sz="6" w:space="0" w:color="FFFFFF"/>
              <w:bottom w:val="single" w:sz="2" w:space="0" w:color="FFFFFF"/>
              <w:right w:val="single" w:sz="2" w:space="0" w:color="FFFFFF"/>
            </w:tcBorders>
          </w:tcPr>
          <w:p w14:paraId="5A7F3275" w14:textId="77777777" w:rsidR="0085484F" w:rsidRPr="009D7A51" w:rsidRDefault="0085484F" w:rsidP="00A223AA">
            <w:pPr>
              <w:pStyle w:val="cDate2"/>
            </w:pPr>
          </w:p>
        </w:tc>
      </w:tr>
      <w:tr w:rsidR="002B30F8" w:rsidRPr="009D7A51" w14:paraId="1A6D604A" w14:textId="77777777" w:rsidTr="003F7CE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F65F060" w14:textId="77777777" w:rsidR="002B30F8" w:rsidRPr="009D7A51" w:rsidRDefault="002B30F8" w:rsidP="002B30F8">
            <w:pPr>
              <w:pStyle w:val="chead2"/>
            </w:pPr>
            <w:bookmarkStart w:id="136" w:name="_Toc144104986"/>
            <w:bookmarkStart w:id="137" w:name="_Toc267399451"/>
            <w:bookmarkStart w:id="138" w:name="_Toc199331908"/>
            <w:r w:rsidRPr="009D7A51">
              <w:t>243.120</w:t>
            </w:r>
            <w:r w:rsidRPr="009D7A51">
              <w:tab/>
            </w:r>
            <w:r w:rsidR="00200721" w:rsidRPr="009D7A51">
              <w:t>CPT Codes Payable in the Visual Care Program</w:t>
            </w:r>
            <w:bookmarkEnd w:id="136"/>
            <w:bookmarkEnd w:id="137"/>
            <w:bookmarkEnd w:id="138"/>
          </w:p>
        </w:tc>
        <w:tc>
          <w:tcPr>
            <w:tcW w:w="1238" w:type="dxa"/>
            <w:tcBorders>
              <w:top w:val="single" w:sz="2" w:space="0" w:color="FFFFFF"/>
              <w:left w:val="single" w:sz="6" w:space="0" w:color="FFFFFF"/>
              <w:bottom w:val="single" w:sz="2" w:space="0" w:color="FFFFFF"/>
              <w:right w:val="single" w:sz="2" w:space="0" w:color="FFFFFF"/>
            </w:tcBorders>
          </w:tcPr>
          <w:p w14:paraId="44C37BB3" w14:textId="77777777" w:rsidR="002B30F8" w:rsidRPr="009D7A51" w:rsidRDefault="00200721" w:rsidP="002B30F8">
            <w:pPr>
              <w:pStyle w:val="cDate2"/>
            </w:pPr>
            <w:r w:rsidRPr="009D7A51">
              <w:t>2-1-22</w:t>
            </w:r>
          </w:p>
        </w:tc>
      </w:tr>
    </w:tbl>
    <w:p w14:paraId="7113BDB0" w14:textId="77777777" w:rsidR="00200721" w:rsidRPr="009D7A51" w:rsidRDefault="00200721" w:rsidP="00200721">
      <w:pPr>
        <w:pStyle w:val="ctext"/>
      </w:pPr>
      <w:r w:rsidRPr="009D7A51">
        <w:t>The following CPT codes are payable in the Visual Care Program.  Optometrists may bill procedure code for treatment of dry eye syndrome.</w:t>
      </w:r>
    </w:p>
    <w:bookmarkStart w:id="139" w:name="_Hlk72318679"/>
    <w:p w14:paraId="1D60FBBB" w14:textId="6F3269F3" w:rsidR="00200721" w:rsidRPr="009821BD" w:rsidRDefault="009821BD" w:rsidP="00200721">
      <w:pPr>
        <w:pStyle w:val="ctext"/>
        <w:rPr>
          <w:b/>
        </w:rPr>
      </w:pPr>
      <w:r>
        <w:rPr>
          <w:b/>
        </w:rPr>
        <w:fldChar w:fldCharType="begin"/>
      </w:r>
      <w:r>
        <w:rPr>
          <w:b/>
        </w:rPr>
        <w:instrText>HYPERLINK "https://humanservices.arkansas.gov/wp-content/uploads/VISUAL_ProcCodes.xlsx"</w:instrText>
      </w:r>
      <w:r>
        <w:rPr>
          <w:b/>
        </w:rPr>
      </w:r>
      <w:r>
        <w:rPr>
          <w:b/>
        </w:rPr>
        <w:fldChar w:fldCharType="separate"/>
      </w:r>
      <w:r w:rsidR="00200721" w:rsidRPr="009821BD">
        <w:rPr>
          <w:rStyle w:val="Hyperlink"/>
        </w:rPr>
        <w:t>View or print the procedure codes for Vision services.</w:t>
      </w:r>
      <w:r>
        <w:rPr>
          <w:b/>
        </w:rPr>
        <w:fldChar w:fldCharType="end"/>
      </w:r>
    </w:p>
    <w:bookmarkEnd w:id="139"/>
    <w:p w14:paraId="2CA5F2E7" w14:textId="36B92605" w:rsidR="00200721" w:rsidRPr="009D7A51" w:rsidRDefault="00200721" w:rsidP="00200721">
      <w:pPr>
        <w:pStyle w:val="ctext"/>
      </w:pPr>
      <w:r w:rsidRPr="009D7A51">
        <w:t>*Procedure codes with one asterisk require prior authorization when the place of service is an inpatient hospital.</w:t>
      </w:r>
    </w:p>
    <w:p w14:paraId="756443B5" w14:textId="77777777" w:rsidR="00200721" w:rsidRPr="009D7A51" w:rsidRDefault="00200721" w:rsidP="00200721">
      <w:pPr>
        <w:pStyle w:val="ctext"/>
      </w:pPr>
      <w:r w:rsidRPr="009D7A51">
        <w:t>**Procedure code requires prior authorization and is limited to beneficiaries under age 21 years.</w:t>
      </w:r>
    </w:p>
    <w:p w14:paraId="22867503" w14:textId="77777777" w:rsidR="00200721" w:rsidRPr="009D7A51" w:rsidRDefault="00200721" w:rsidP="00200721">
      <w:pPr>
        <w:pStyle w:val="ctext"/>
      </w:pPr>
      <w:r w:rsidRPr="009D7A51">
        <w:t>***Procedure code is manually priced and requires prior authorization.</w:t>
      </w:r>
    </w:p>
    <w:p w14:paraId="1B43AA1E" w14:textId="77777777" w:rsidR="002B30F8" w:rsidRPr="009D7A51" w:rsidRDefault="00200721" w:rsidP="00200721">
      <w:pPr>
        <w:pStyle w:val="ctext"/>
        <w:rPr>
          <w:i/>
        </w:rPr>
      </w:pPr>
      <w:r w:rsidRPr="009D7A51">
        <w:t xml:space="preserve">Gross visual field testing is a part of general ophthalmologic services and is not billed separately. </w:t>
      </w:r>
      <w:r w:rsidRPr="009D7A51">
        <w:rPr>
          <w:i/>
        </w:rPr>
        <w:t>See the CPT manual for definitions, examples of levels of service and complete procedure code descriptions.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5484F" w:rsidRPr="009D7A51" w14:paraId="120E705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E1F2F4" w14:textId="77777777" w:rsidR="0085484F" w:rsidRPr="009D7A51" w:rsidRDefault="0085484F" w:rsidP="003F239E">
            <w:pPr>
              <w:pStyle w:val="chead2"/>
            </w:pPr>
            <w:bookmarkStart w:id="140" w:name="_Toc199331909"/>
            <w:r w:rsidRPr="009D7A51">
              <w:t>243.130</w:t>
            </w:r>
            <w:r w:rsidRPr="009D7A51">
              <w:tab/>
              <w:t>Hospital Discharge Day Management</w:t>
            </w:r>
            <w:bookmarkEnd w:id="140"/>
            <w:r w:rsidRPr="009D7A5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0323B01" w14:textId="77777777" w:rsidR="0085484F" w:rsidRPr="009D7A51" w:rsidRDefault="00ED733E" w:rsidP="003F239E">
            <w:pPr>
              <w:pStyle w:val="cDate2"/>
            </w:pPr>
            <w:r w:rsidRPr="009D7A51">
              <w:t>2-1-22</w:t>
            </w:r>
          </w:p>
        </w:tc>
      </w:tr>
    </w:tbl>
    <w:p w14:paraId="4EF80D9F" w14:textId="77777777" w:rsidR="00ED733E" w:rsidRPr="009D7A51" w:rsidRDefault="00ED733E" w:rsidP="00ED733E">
      <w:pPr>
        <w:pStyle w:val="ctext"/>
      </w:pPr>
      <w:r w:rsidRPr="009D7A51">
        <w:t>Procedure code, hospital discharge day management, may not be billed by providers on the same date of service as initial or subsequent hospital care, procedure.  Initial hospital care and subsequent hospital care may not be billed on the day of discharge.</w:t>
      </w:r>
    </w:p>
    <w:p w14:paraId="1D2F7510" w14:textId="77777777" w:rsidR="0085484F" w:rsidRPr="009D7A51" w:rsidRDefault="00ED733E" w:rsidP="00ED733E">
      <w:pPr>
        <w:pStyle w:val="ctext"/>
      </w:pPr>
      <w:hyperlink r:id="rId43" w:history="1">
        <w:r w:rsidRPr="009D7A51">
          <w:rPr>
            <w:rStyle w:val="Hyperlink"/>
          </w:rPr>
          <w:t>View or print the procedure codes for Vision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C3B79" w:rsidRPr="009D7A51" w14:paraId="35B903BE"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AABAA8" w14:textId="77777777" w:rsidR="009C3B79" w:rsidRPr="009D7A51" w:rsidRDefault="009C3B79" w:rsidP="003F239E">
            <w:pPr>
              <w:pStyle w:val="chead2"/>
            </w:pPr>
            <w:bookmarkStart w:id="141" w:name="_Toc199331910"/>
            <w:r w:rsidRPr="009D7A51">
              <w:lastRenderedPageBreak/>
              <w:t>243.140</w:t>
            </w:r>
            <w:r w:rsidRPr="009D7A51">
              <w:tab/>
              <w:t>Billing Instructions for Balanced Lens for Aphakia</w:t>
            </w:r>
            <w:bookmarkEnd w:id="141"/>
            <w:r w:rsidRPr="009D7A5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0C7A2AF" w14:textId="77777777" w:rsidR="009C3B79" w:rsidRPr="009D7A51" w:rsidRDefault="00E4519A" w:rsidP="003F239E">
            <w:pPr>
              <w:pStyle w:val="cDate2"/>
            </w:pPr>
            <w:r w:rsidRPr="009D7A51">
              <w:t>2-1-22</w:t>
            </w:r>
          </w:p>
        </w:tc>
      </w:tr>
    </w:tbl>
    <w:p w14:paraId="15D166B8" w14:textId="77777777" w:rsidR="00177A18" w:rsidRPr="009D7A51" w:rsidRDefault="00177A18" w:rsidP="00177A18">
      <w:pPr>
        <w:pStyle w:val="ctext"/>
      </w:pPr>
      <w:r w:rsidRPr="009D7A51">
        <w:t>Visual Care providers must bill procedure code (unspecified procedure) when providing balanced lenses to aphakia patients who are eligible for both Medicare and Medicaid. Medicaid providers must bill for this procedure using the CMS-1500 claim form.  A copy of the lab invoice and the Medicare EOMB that reflects the denial must be attached to the claim.</w:t>
      </w:r>
    </w:p>
    <w:p w14:paraId="1D5E5A64" w14:textId="77777777" w:rsidR="009C3B79" w:rsidRPr="009D7A51" w:rsidRDefault="00177A18" w:rsidP="003F239E">
      <w:pPr>
        <w:pStyle w:val="ctext"/>
      </w:pPr>
      <w:hyperlink r:id="rId44" w:history="1">
        <w:r w:rsidRPr="009D7A51">
          <w:rPr>
            <w:rStyle w:val="Hyperlink"/>
          </w:rPr>
          <w:t>View or print the procedure codes for Vision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31E49" w:rsidRPr="009D7A51" w14:paraId="7DA0519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7BE74FC" w14:textId="77777777" w:rsidR="00831E49" w:rsidRPr="009D7A51" w:rsidRDefault="00831E49" w:rsidP="006D2380">
            <w:pPr>
              <w:pStyle w:val="chead2"/>
            </w:pPr>
            <w:bookmarkStart w:id="142" w:name="_Toc138131590"/>
            <w:bookmarkStart w:id="143" w:name="_Toc199331911"/>
            <w:r w:rsidRPr="009D7A51">
              <w:t>243.150</w:t>
            </w:r>
            <w:r w:rsidRPr="009D7A51">
              <w:tab/>
              <w:t>Office Medical Services</w:t>
            </w:r>
            <w:bookmarkEnd w:id="142"/>
            <w:bookmarkEnd w:id="143"/>
          </w:p>
        </w:tc>
        <w:tc>
          <w:tcPr>
            <w:tcW w:w="1238" w:type="dxa"/>
            <w:tcBorders>
              <w:top w:val="single" w:sz="2" w:space="0" w:color="FFFFFF"/>
              <w:left w:val="single" w:sz="6" w:space="0" w:color="FFFFFF"/>
              <w:bottom w:val="single" w:sz="2" w:space="0" w:color="FFFFFF"/>
              <w:right w:val="single" w:sz="2" w:space="0" w:color="FFFFFF"/>
            </w:tcBorders>
          </w:tcPr>
          <w:p w14:paraId="709ACC66" w14:textId="77777777" w:rsidR="00831E49" w:rsidRPr="009D7A51" w:rsidRDefault="00FE6A64" w:rsidP="006D2380">
            <w:pPr>
              <w:pStyle w:val="cDate2"/>
            </w:pPr>
            <w:r w:rsidRPr="009D7A51">
              <w:t>2-1-22</w:t>
            </w:r>
          </w:p>
        </w:tc>
      </w:tr>
    </w:tbl>
    <w:p w14:paraId="0A68489C" w14:textId="77777777" w:rsidR="0035620C" w:rsidRPr="009D7A51" w:rsidRDefault="0035620C" w:rsidP="0035620C">
      <w:pPr>
        <w:pStyle w:val="ctext"/>
      </w:pPr>
      <w:r w:rsidRPr="009D7A51">
        <w:t xml:space="preserve">The office medical services provided by an optometrist are limited to twelve (12) visits per state fiscal year (July 1 through June 30) for beneficiaries </w:t>
      </w:r>
      <w:proofErr w:type="gramStart"/>
      <w:r w:rsidRPr="009D7A51">
        <w:t>age</w:t>
      </w:r>
      <w:proofErr w:type="gramEnd"/>
      <w:r w:rsidRPr="009D7A51">
        <w:t xml:space="preserve"> 21 and older.  The benefit limit will be used in conjunction with four other programs: physicians’ services, medical services provided by dentists, rural health clinic services and certified nurse-midwife services.  Beneficiaries will be allowed twelve visits per state fiscal year for office medical services furnished by an optometrist, medical services furnished by a dentist, physicians’ services, rural health clinic services and certified nurse-midwife services or a combination of the five.  Extensions beyond the twelve-visit limit may be provided if medically necessary.  Office medical services for beneficiaries under age 21 in the Child Health Services (EPSDT) Program are not benefit limited.</w:t>
      </w:r>
    </w:p>
    <w:p w14:paraId="5DB64849" w14:textId="77777777" w:rsidR="0035620C" w:rsidRPr="009D7A51" w:rsidRDefault="0035620C" w:rsidP="0035620C">
      <w:pPr>
        <w:pStyle w:val="ctext"/>
      </w:pPr>
      <w:r w:rsidRPr="009D7A51">
        <w:t>Office medical services covered in the Visual Care Program are limited to the following procedure codes:</w:t>
      </w:r>
    </w:p>
    <w:p w14:paraId="34FFFA87" w14:textId="77777777" w:rsidR="00831E49" w:rsidRPr="009D7A51" w:rsidRDefault="0035620C" w:rsidP="00FE6A64">
      <w:pPr>
        <w:pStyle w:val="ctext"/>
      </w:pPr>
      <w:hyperlink r:id="rId45" w:history="1">
        <w:r w:rsidRPr="009D7A51">
          <w:rPr>
            <w:rStyle w:val="Hyperlink"/>
          </w:rPr>
          <w:t>View or print the procedure codes for Vision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7F28A7" w:rsidRPr="009D7A51" w14:paraId="4DD6FD7F" w14:textId="77777777" w:rsidTr="003F660F">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3AD6FF" w14:textId="77777777" w:rsidR="007F28A7" w:rsidRPr="009D7A51" w:rsidRDefault="007F28A7" w:rsidP="003F660F">
            <w:pPr>
              <w:pStyle w:val="chead2"/>
            </w:pPr>
            <w:bookmarkStart w:id="144" w:name="_Toc163873134"/>
            <w:bookmarkStart w:id="145" w:name="_Toc199331912"/>
            <w:r w:rsidRPr="009D7A51">
              <w:t>243.200</w:t>
            </w:r>
            <w:r w:rsidRPr="009D7A51">
              <w:tab/>
              <w:t>National Place of Service</w:t>
            </w:r>
            <w:bookmarkEnd w:id="145"/>
            <w:r w:rsidRPr="009D7A51">
              <w:t xml:space="preserve"> </w:t>
            </w:r>
            <w:bookmarkEnd w:id="144"/>
          </w:p>
        </w:tc>
        <w:tc>
          <w:tcPr>
            <w:tcW w:w="1238" w:type="dxa"/>
            <w:tcBorders>
              <w:top w:val="single" w:sz="2" w:space="0" w:color="FFFFFF"/>
              <w:left w:val="single" w:sz="6" w:space="0" w:color="FFFFFF"/>
              <w:bottom w:val="single" w:sz="2" w:space="0" w:color="FFFFFF"/>
              <w:right w:val="single" w:sz="2" w:space="0" w:color="FFFFFF"/>
            </w:tcBorders>
          </w:tcPr>
          <w:p w14:paraId="7B56D930" w14:textId="77777777" w:rsidR="007F28A7" w:rsidRPr="009D7A51" w:rsidRDefault="007F28A7" w:rsidP="003F660F">
            <w:pPr>
              <w:pStyle w:val="cDate2"/>
            </w:pPr>
            <w:r w:rsidRPr="009D7A51">
              <w:t>7-1-07</w:t>
            </w:r>
          </w:p>
        </w:tc>
      </w:tr>
    </w:tbl>
    <w:p w14:paraId="4BC7E31A" w14:textId="77777777" w:rsidR="007F28A7" w:rsidRPr="009D7A51" w:rsidRDefault="007F28A7" w:rsidP="007F28A7">
      <w:pPr>
        <w:pStyle w:val="ctext"/>
      </w:pPr>
      <w:r w:rsidRPr="009D7A51">
        <w:t>Electronic and paper claims now require the same national place of service codes.</w:t>
      </w:r>
    </w:p>
    <w:p w14:paraId="4E6040D9" w14:textId="77777777" w:rsidR="007F28A7" w:rsidRPr="009D7A51" w:rsidRDefault="007F28A7" w:rsidP="007F28A7">
      <w:pPr>
        <w:pStyle w:val="ctablespace"/>
      </w:pPr>
    </w:p>
    <w:tbl>
      <w:tblPr>
        <w:tblW w:w="9360"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680"/>
        <w:gridCol w:w="4680"/>
      </w:tblGrid>
      <w:tr w:rsidR="007F28A7" w:rsidRPr="009D7A51" w14:paraId="03AA7F9F" w14:textId="77777777" w:rsidTr="003F660F">
        <w:tblPrEx>
          <w:tblCellMar>
            <w:top w:w="0" w:type="dxa"/>
            <w:bottom w:w="0" w:type="dxa"/>
          </w:tblCellMar>
        </w:tblPrEx>
        <w:trPr>
          <w:tblHeader/>
        </w:trPr>
        <w:tc>
          <w:tcPr>
            <w:tcW w:w="4680" w:type="dxa"/>
          </w:tcPr>
          <w:p w14:paraId="5DA4ADF4" w14:textId="77777777" w:rsidR="007F28A7" w:rsidRPr="009D7A51" w:rsidRDefault="007F28A7" w:rsidP="003F660F">
            <w:pPr>
              <w:pStyle w:val="ctableheading"/>
            </w:pPr>
            <w:r w:rsidRPr="009D7A51">
              <w:t>Place of Service (POS)</w:t>
            </w:r>
          </w:p>
        </w:tc>
        <w:tc>
          <w:tcPr>
            <w:tcW w:w="4680" w:type="dxa"/>
          </w:tcPr>
          <w:p w14:paraId="11B263C7" w14:textId="77777777" w:rsidR="007F28A7" w:rsidRPr="009D7A51" w:rsidRDefault="007F28A7" w:rsidP="003F660F">
            <w:pPr>
              <w:pStyle w:val="ctableheading"/>
            </w:pPr>
            <w:r w:rsidRPr="009D7A51">
              <w:t>POS Codes</w:t>
            </w:r>
          </w:p>
        </w:tc>
      </w:tr>
      <w:tr w:rsidR="007F28A7" w:rsidRPr="009D7A51" w14:paraId="29AE7B28" w14:textId="77777777" w:rsidTr="003F660F">
        <w:tblPrEx>
          <w:tblCellMar>
            <w:top w:w="0" w:type="dxa"/>
            <w:bottom w:w="0" w:type="dxa"/>
          </w:tblCellMar>
        </w:tblPrEx>
        <w:tc>
          <w:tcPr>
            <w:tcW w:w="4680" w:type="dxa"/>
          </w:tcPr>
          <w:p w14:paraId="3EEE9E53" w14:textId="77777777" w:rsidR="007F28A7" w:rsidRPr="009D7A51" w:rsidRDefault="007F28A7" w:rsidP="003F660F">
            <w:pPr>
              <w:pStyle w:val="cTableText"/>
            </w:pPr>
            <w:r w:rsidRPr="009D7A51">
              <w:t>Inpatient hospital</w:t>
            </w:r>
          </w:p>
        </w:tc>
        <w:tc>
          <w:tcPr>
            <w:tcW w:w="4680" w:type="dxa"/>
          </w:tcPr>
          <w:p w14:paraId="633CAC65" w14:textId="77777777" w:rsidR="007F28A7" w:rsidRPr="009D7A51" w:rsidRDefault="007F28A7" w:rsidP="003F660F">
            <w:pPr>
              <w:pStyle w:val="cTableText"/>
            </w:pPr>
            <w:r w:rsidRPr="009D7A51">
              <w:t>21</w:t>
            </w:r>
          </w:p>
        </w:tc>
      </w:tr>
      <w:tr w:rsidR="007F28A7" w:rsidRPr="009D7A51" w14:paraId="2046CD5B" w14:textId="77777777" w:rsidTr="003F660F">
        <w:tblPrEx>
          <w:tblCellMar>
            <w:top w:w="0" w:type="dxa"/>
            <w:bottom w:w="0" w:type="dxa"/>
          </w:tblCellMar>
        </w:tblPrEx>
        <w:tc>
          <w:tcPr>
            <w:tcW w:w="4680" w:type="dxa"/>
          </w:tcPr>
          <w:p w14:paraId="25B7668E" w14:textId="77777777" w:rsidR="007F28A7" w:rsidRPr="009D7A51" w:rsidRDefault="007F28A7" w:rsidP="003F660F">
            <w:pPr>
              <w:pStyle w:val="cTableText"/>
            </w:pPr>
            <w:r w:rsidRPr="009D7A51">
              <w:t>Outpatient hospital</w:t>
            </w:r>
          </w:p>
        </w:tc>
        <w:tc>
          <w:tcPr>
            <w:tcW w:w="4680" w:type="dxa"/>
          </w:tcPr>
          <w:p w14:paraId="07E611D5" w14:textId="77777777" w:rsidR="007F28A7" w:rsidRPr="009D7A51" w:rsidRDefault="007F28A7" w:rsidP="003F660F">
            <w:pPr>
              <w:pStyle w:val="cTableText"/>
            </w:pPr>
            <w:r w:rsidRPr="009D7A51">
              <w:t>22</w:t>
            </w:r>
          </w:p>
        </w:tc>
      </w:tr>
      <w:tr w:rsidR="007F28A7" w:rsidRPr="009D7A51" w14:paraId="524992EF" w14:textId="77777777" w:rsidTr="003F660F">
        <w:tblPrEx>
          <w:tblCellMar>
            <w:top w:w="0" w:type="dxa"/>
            <w:bottom w:w="0" w:type="dxa"/>
          </w:tblCellMar>
        </w:tblPrEx>
        <w:tc>
          <w:tcPr>
            <w:tcW w:w="4680" w:type="dxa"/>
          </w:tcPr>
          <w:p w14:paraId="5740DFA5" w14:textId="77777777" w:rsidR="007F28A7" w:rsidRPr="009D7A51" w:rsidRDefault="007F28A7" w:rsidP="003F660F">
            <w:pPr>
              <w:pStyle w:val="cTableText"/>
            </w:pPr>
            <w:r w:rsidRPr="009D7A51">
              <w:t>Doctor’s office</w:t>
            </w:r>
          </w:p>
        </w:tc>
        <w:tc>
          <w:tcPr>
            <w:tcW w:w="4680" w:type="dxa"/>
          </w:tcPr>
          <w:p w14:paraId="6ED090A2" w14:textId="77777777" w:rsidR="007F28A7" w:rsidRPr="009D7A51" w:rsidRDefault="007F28A7" w:rsidP="003F660F">
            <w:pPr>
              <w:pStyle w:val="cTableText"/>
            </w:pPr>
            <w:r w:rsidRPr="009D7A51">
              <w:t>11</w:t>
            </w:r>
          </w:p>
        </w:tc>
      </w:tr>
      <w:tr w:rsidR="007F28A7" w:rsidRPr="009D7A51" w14:paraId="62C4E3DF" w14:textId="77777777" w:rsidTr="003F660F">
        <w:tblPrEx>
          <w:tblCellMar>
            <w:top w:w="0" w:type="dxa"/>
            <w:bottom w:w="0" w:type="dxa"/>
          </w:tblCellMar>
        </w:tblPrEx>
        <w:tc>
          <w:tcPr>
            <w:tcW w:w="4680" w:type="dxa"/>
          </w:tcPr>
          <w:p w14:paraId="6B96ACDE" w14:textId="77777777" w:rsidR="007F28A7" w:rsidRPr="009D7A51" w:rsidRDefault="007F28A7" w:rsidP="003F660F">
            <w:pPr>
              <w:pStyle w:val="cTableText"/>
            </w:pPr>
            <w:r w:rsidRPr="009D7A51">
              <w:t>Patient’s home</w:t>
            </w:r>
          </w:p>
        </w:tc>
        <w:tc>
          <w:tcPr>
            <w:tcW w:w="4680" w:type="dxa"/>
          </w:tcPr>
          <w:p w14:paraId="0E72BCE2" w14:textId="77777777" w:rsidR="007F28A7" w:rsidRPr="009D7A51" w:rsidRDefault="007F28A7" w:rsidP="003F660F">
            <w:pPr>
              <w:pStyle w:val="cTableText"/>
            </w:pPr>
            <w:r w:rsidRPr="009D7A51">
              <w:t>12</w:t>
            </w:r>
          </w:p>
        </w:tc>
      </w:tr>
      <w:tr w:rsidR="007F28A7" w:rsidRPr="009D7A51" w14:paraId="37278086" w14:textId="77777777" w:rsidTr="003F660F">
        <w:tblPrEx>
          <w:tblCellMar>
            <w:top w:w="0" w:type="dxa"/>
            <w:bottom w:w="0" w:type="dxa"/>
          </w:tblCellMar>
        </w:tblPrEx>
        <w:tc>
          <w:tcPr>
            <w:tcW w:w="4680" w:type="dxa"/>
          </w:tcPr>
          <w:p w14:paraId="3666BD93" w14:textId="77777777" w:rsidR="007F28A7" w:rsidRPr="009D7A51" w:rsidRDefault="007F28A7" w:rsidP="003F660F">
            <w:pPr>
              <w:pStyle w:val="cTableText"/>
            </w:pPr>
            <w:r w:rsidRPr="009D7A51">
              <w:t>Other location</w:t>
            </w:r>
          </w:p>
        </w:tc>
        <w:tc>
          <w:tcPr>
            <w:tcW w:w="4680" w:type="dxa"/>
          </w:tcPr>
          <w:p w14:paraId="1E8388E5" w14:textId="77777777" w:rsidR="007F28A7" w:rsidRPr="009D7A51" w:rsidRDefault="007F28A7" w:rsidP="003F660F">
            <w:pPr>
              <w:pStyle w:val="cTableText"/>
            </w:pPr>
            <w:r w:rsidRPr="009D7A51">
              <w:t>99</w:t>
            </w:r>
          </w:p>
        </w:tc>
      </w:tr>
    </w:tbl>
    <w:p w14:paraId="017A6B87" w14:textId="77777777" w:rsidR="007F28A7" w:rsidRPr="009D7A51" w:rsidRDefault="007F28A7" w:rsidP="007F28A7">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6"/>
        <w:gridCol w:w="1254"/>
      </w:tblGrid>
      <w:tr w:rsidR="005703D8" w:rsidRPr="009D7A51" w14:paraId="539BCF8D" w14:textId="77777777" w:rsidTr="009346CA">
        <w:tblPrEx>
          <w:tblCellMar>
            <w:top w:w="0" w:type="dxa"/>
            <w:bottom w:w="0" w:type="dxa"/>
          </w:tblCellMar>
        </w:tblPrEx>
        <w:trPr>
          <w:cantSplit/>
        </w:trPr>
        <w:tc>
          <w:tcPr>
            <w:tcW w:w="8106" w:type="dxa"/>
            <w:tcBorders>
              <w:top w:val="single" w:sz="2" w:space="0" w:color="FFFFFF"/>
              <w:left w:val="single" w:sz="2" w:space="0" w:color="FFFFFF"/>
              <w:bottom w:val="single" w:sz="2" w:space="0" w:color="FFFFFF"/>
              <w:right w:val="single" w:sz="6" w:space="0" w:color="FFFFFF"/>
            </w:tcBorders>
          </w:tcPr>
          <w:p w14:paraId="507BBB29" w14:textId="77777777" w:rsidR="005703D8" w:rsidRPr="009D7A51" w:rsidRDefault="005703D8" w:rsidP="005703D8">
            <w:pPr>
              <w:pStyle w:val="chead2"/>
            </w:pPr>
            <w:bookmarkStart w:id="146" w:name="_Toc144104991"/>
            <w:bookmarkStart w:id="147" w:name="_Toc441058331"/>
            <w:bookmarkStart w:id="148" w:name="_Toc199331913"/>
            <w:r w:rsidRPr="009D7A51">
              <w:t>243.300</w:t>
            </w:r>
            <w:r w:rsidRPr="009D7A51">
              <w:tab/>
              <w:t>Billing Instructions – CMS-1500 – Paper Only</w:t>
            </w:r>
            <w:bookmarkEnd w:id="146"/>
            <w:bookmarkEnd w:id="147"/>
            <w:bookmarkEnd w:id="148"/>
          </w:p>
        </w:tc>
        <w:tc>
          <w:tcPr>
            <w:tcW w:w="1254" w:type="dxa"/>
            <w:tcBorders>
              <w:top w:val="single" w:sz="2" w:space="0" w:color="FFFFFF"/>
              <w:left w:val="single" w:sz="6" w:space="0" w:color="FFFFFF"/>
              <w:bottom w:val="single" w:sz="2" w:space="0" w:color="FFFFFF"/>
              <w:right w:val="single" w:sz="2" w:space="0" w:color="FFFFFF"/>
            </w:tcBorders>
          </w:tcPr>
          <w:p w14:paraId="35C7F8AD" w14:textId="77777777" w:rsidR="005703D8" w:rsidRPr="009D7A51" w:rsidRDefault="0020698C" w:rsidP="005703D8">
            <w:pPr>
              <w:pStyle w:val="cDate2"/>
            </w:pPr>
            <w:r w:rsidRPr="009D7A51">
              <w:t>11-1-1</w:t>
            </w:r>
            <w:r w:rsidR="005703D8" w:rsidRPr="009D7A51">
              <w:t>7</w:t>
            </w:r>
          </w:p>
        </w:tc>
      </w:tr>
    </w:tbl>
    <w:p w14:paraId="1B7631BC" w14:textId="77777777" w:rsidR="0020698C" w:rsidRPr="009D7A51" w:rsidRDefault="0020698C" w:rsidP="0020698C">
      <w:pPr>
        <w:pStyle w:val="ctext"/>
      </w:pPr>
      <w:r w:rsidRPr="009D7A51">
        <w:t xml:space="preserve">Bill Medicaid for professional services with form CMS-1500. The numbered items in the following instructions correspond to the numbered fields on the claim form. </w:t>
      </w:r>
      <w:hyperlink r:id="rId46" w:history="1">
        <w:r w:rsidRPr="009D7A51">
          <w:rPr>
            <w:rStyle w:val="Hyperlink"/>
          </w:rPr>
          <w:t>View a sample form CMS-1500.</w:t>
        </w:r>
      </w:hyperlink>
    </w:p>
    <w:p w14:paraId="205EC726" w14:textId="77777777" w:rsidR="0020698C" w:rsidRPr="009D7A51" w:rsidRDefault="0020698C" w:rsidP="0020698C">
      <w:pPr>
        <w:pStyle w:val="ctext"/>
      </w:pPr>
      <w:r w:rsidRPr="009D7A51">
        <w:t xml:space="preserve">Carefully follow these instructions to help the Arkansas Medicaid fiscal agent efficiently process claims. Accuracy, completeness, and clarity are essential. Claims cannot be processed if </w:t>
      </w:r>
      <w:proofErr w:type="gramStart"/>
      <w:r w:rsidRPr="009D7A51">
        <w:t>necessary</w:t>
      </w:r>
      <w:proofErr w:type="gramEnd"/>
      <w:r w:rsidRPr="009D7A51">
        <w:t xml:space="preserve"> information is omitted.</w:t>
      </w:r>
    </w:p>
    <w:p w14:paraId="6F0ACC14" w14:textId="57618145" w:rsidR="0020698C" w:rsidRPr="009821BD" w:rsidRDefault="0020698C" w:rsidP="0020698C">
      <w:pPr>
        <w:pStyle w:val="ctext"/>
        <w:rPr>
          <w:rStyle w:val="Hyperlink"/>
        </w:rPr>
      </w:pPr>
      <w:r w:rsidRPr="009D7A51">
        <w:t xml:space="preserve">Forward completed claim forms to the Claims Department. </w:t>
      </w:r>
      <w:hyperlink r:id="rId47" w:history="1">
        <w:r w:rsidRPr="009821BD">
          <w:rPr>
            <w:rStyle w:val="Hyperlink"/>
          </w:rPr>
          <w:t>View or print the Claims Department contact information.</w:t>
        </w:r>
      </w:hyperlink>
    </w:p>
    <w:p w14:paraId="0C43FBDA" w14:textId="7C179279" w:rsidR="005703D8" w:rsidRPr="009D7A51" w:rsidRDefault="0020698C" w:rsidP="0020698C">
      <w:pPr>
        <w:pStyle w:val="Note"/>
        <w:ind w:left="1170"/>
      </w:pPr>
      <w:r w:rsidRPr="009D7A51">
        <w:t>NOTE:</w:t>
      </w:r>
      <w:r w:rsidRPr="009D7A51">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956C5" w:rsidRPr="009D7A51" w14:paraId="0B59B945" w14:textId="77777777" w:rsidTr="00663360">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72192EB" w14:textId="77777777" w:rsidR="00A956C5" w:rsidRPr="009D7A51" w:rsidRDefault="00A956C5" w:rsidP="00663360">
            <w:pPr>
              <w:pStyle w:val="chead2"/>
            </w:pPr>
            <w:bookmarkStart w:id="149" w:name="_Toc24443539"/>
            <w:bookmarkStart w:id="150" w:name="_Toc33424826"/>
            <w:bookmarkStart w:id="151" w:name="_Toc144104992"/>
            <w:bookmarkStart w:id="152" w:name="_Toc342373181"/>
            <w:r w:rsidRPr="009D7A51">
              <w:rPr>
                <w:b w:val="0"/>
                <w:color w:val="auto"/>
              </w:rPr>
              <w:br w:type="page"/>
            </w:r>
            <w:bookmarkStart w:id="153" w:name="_Toc475448976"/>
            <w:bookmarkStart w:id="154" w:name="_Toc199331914"/>
            <w:r w:rsidRPr="009D7A51">
              <w:t>243.310</w:t>
            </w:r>
            <w:r w:rsidRPr="009D7A51">
              <w:tab/>
              <w:t>Completion of CMS-1500 Claim Form</w:t>
            </w:r>
            <w:bookmarkEnd w:id="149"/>
            <w:bookmarkEnd w:id="150"/>
            <w:bookmarkEnd w:id="151"/>
            <w:bookmarkEnd w:id="152"/>
            <w:bookmarkEnd w:id="153"/>
            <w:bookmarkEnd w:id="154"/>
          </w:p>
        </w:tc>
        <w:tc>
          <w:tcPr>
            <w:tcW w:w="1238" w:type="dxa"/>
            <w:tcBorders>
              <w:top w:val="single" w:sz="2" w:space="0" w:color="FFFFFF"/>
              <w:left w:val="single" w:sz="6" w:space="0" w:color="FFFFFF"/>
              <w:bottom w:val="single" w:sz="2" w:space="0" w:color="FFFFFF"/>
              <w:right w:val="single" w:sz="2" w:space="0" w:color="FFFFFF"/>
            </w:tcBorders>
          </w:tcPr>
          <w:p w14:paraId="4E0E081A" w14:textId="77777777" w:rsidR="00A956C5" w:rsidRPr="009D7A51" w:rsidRDefault="00A956C5" w:rsidP="00663360">
            <w:pPr>
              <w:pStyle w:val="cDate2"/>
            </w:pPr>
            <w:r w:rsidRPr="009D7A51">
              <w:t>9-1-14</w:t>
            </w:r>
          </w:p>
        </w:tc>
      </w:tr>
    </w:tbl>
    <w:p w14:paraId="0C254E28" w14:textId="77777777" w:rsidR="00A956C5" w:rsidRPr="009D7A51" w:rsidRDefault="00A956C5" w:rsidP="00A956C5">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A956C5" w:rsidRPr="009D7A51" w14:paraId="133E28DC" w14:textId="77777777" w:rsidTr="00663360">
        <w:tblPrEx>
          <w:tblCellMar>
            <w:top w:w="0" w:type="dxa"/>
            <w:bottom w:w="0" w:type="dxa"/>
          </w:tblCellMar>
        </w:tblPrEx>
        <w:trPr>
          <w:gridAfter w:val="1"/>
          <w:wAfter w:w="45" w:type="dxa"/>
          <w:cantSplit/>
          <w:tblHeader/>
        </w:trPr>
        <w:tc>
          <w:tcPr>
            <w:tcW w:w="3622" w:type="dxa"/>
            <w:tcBorders>
              <w:top w:val="single" w:sz="6" w:space="0" w:color="000000"/>
              <w:left w:val="nil"/>
              <w:bottom w:val="single" w:sz="6" w:space="0" w:color="000000"/>
              <w:right w:val="nil"/>
            </w:tcBorders>
          </w:tcPr>
          <w:p w14:paraId="0E340FF4" w14:textId="77777777" w:rsidR="00A956C5" w:rsidRPr="009D7A51" w:rsidRDefault="00A956C5" w:rsidP="00663360">
            <w:pPr>
              <w:pStyle w:val="ctableheading"/>
              <w:ind w:left="475" w:hanging="475"/>
            </w:pPr>
            <w:r w:rsidRPr="009D7A51">
              <w:t>Field Name and Number</w:t>
            </w:r>
          </w:p>
        </w:tc>
        <w:tc>
          <w:tcPr>
            <w:tcW w:w="5232" w:type="dxa"/>
            <w:tcBorders>
              <w:top w:val="single" w:sz="6" w:space="0" w:color="000000"/>
              <w:left w:val="nil"/>
              <w:bottom w:val="single" w:sz="6" w:space="0" w:color="000000"/>
              <w:right w:val="nil"/>
            </w:tcBorders>
          </w:tcPr>
          <w:p w14:paraId="7E54B8B0" w14:textId="77777777" w:rsidR="00A956C5" w:rsidRPr="009D7A51" w:rsidRDefault="00A956C5" w:rsidP="00663360">
            <w:pPr>
              <w:pStyle w:val="ctableheading"/>
            </w:pPr>
            <w:r w:rsidRPr="009D7A51">
              <w:t>Instructions for Completion</w:t>
            </w:r>
          </w:p>
        </w:tc>
      </w:tr>
      <w:tr w:rsidR="00A956C5" w:rsidRPr="009D7A51" w14:paraId="1562F4D5"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52B22935" w14:textId="77777777" w:rsidR="00A956C5" w:rsidRPr="009D7A51" w:rsidRDefault="00A956C5" w:rsidP="00663360">
            <w:pPr>
              <w:pStyle w:val="cTableText"/>
              <w:ind w:left="475" w:hanging="475"/>
            </w:pPr>
            <w:r w:rsidRPr="009D7A51">
              <w:t>1.</w:t>
            </w:r>
            <w:r w:rsidRPr="009D7A51">
              <w:tab/>
              <w:t>(type of coverage)</w:t>
            </w:r>
          </w:p>
        </w:tc>
        <w:tc>
          <w:tcPr>
            <w:tcW w:w="5232" w:type="dxa"/>
            <w:tcBorders>
              <w:top w:val="single" w:sz="6" w:space="0" w:color="000000"/>
              <w:left w:val="nil"/>
              <w:bottom w:val="nil"/>
              <w:right w:val="nil"/>
            </w:tcBorders>
          </w:tcPr>
          <w:p w14:paraId="17E3B351" w14:textId="77777777" w:rsidR="00A956C5" w:rsidRPr="009D7A51" w:rsidRDefault="00A956C5" w:rsidP="00663360">
            <w:pPr>
              <w:pStyle w:val="cTableText"/>
            </w:pPr>
            <w:r w:rsidRPr="009D7A51">
              <w:t>Not required.</w:t>
            </w:r>
          </w:p>
        </w:tc>
      </w:tr>
      <w:tr w:rsidR="00A956C5" w:rsidRPr="009D7A51" w14:paraId="2914E729"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10575105" w14:textId="77777777" w:rsidR="00A956C5" w:rsidRPr="009D7A51" w:rsidRDefault="00A956C5" w:rsidP="00663360">
            <w:pPr>
              <w:pStyle w:val="cTableText"/>
              <w:ind w:left="475" w:hanging="475"/>
            </w:pPr>
            <w:r w:rsidRPr="009D7A51">
              <w:t>1a.</w:t>
            </w:r>
            <w:r w:rsidRPr="009D7A51">
              <w:tab/>
              <w:t>INSURED’S I.D. NUMBER (For Program in Item 1)</w:t>
            </w:r>
          </w:p>
        </w:tc>
        <w:tc>
          <w:tcPr>
            <w:tcW w:w="5232" w:type="dxa"/>
            <w:tcBorders>
              <w:top w:val="nil"/>
              <w:left w:val="nil"/>
              <w:bottom w:val="single" w:sz="6" w:space="0" w:color="000000"/>
              <w:right w:val="nil"/>
            </w:tcBorders>
          </w:tcPr>
          <w:p w14:paraId="00CBE4CB" w14:textId="77777777" w:rsidR="00A956C5" w:rsidRPr="009D7A51" w:rsidRDefault="00A956C5" w:rsidP="00663360">
            <w:pPr>
              <w:pStyle w:val="cTableText"/>
            </w:pPr>
            <w:r w:rsidRPr="009D7A51">
              <w:t xml:space="preserve">Beneficiary’s or participant’s 10-digit Medicaid or </w:t>
            </w:r>
            <w:proofErr w:type="spellStart"/>
            <w:r w:rsidRPr="009D7A51">
              <w:t>ARKids</w:t>
            </w:r>
            <w:proofErr w:type="spellEnd"/>
            <w:r w:rsidRPr="009D7A51">
              <w:t xml:space="preserve"> First-A or </w:t>
            </w:r>
            <w:proofErr w:type="spellStart"/>
            <w:r w:rsidRPr="009D7A51">
              <w:t>ARKids</w:t>
            </w:r>
            <w:proofErr w:type="spellEnd"/>
            <w:r w:rsidRPr="009D7A51">
              <w:t xml:space="preserve"> First-B identification number.</w:t>
            </w:r>
          </w:p>
        </w:tc>
      </w:tr>
      <w:tr w:rsidR="00A956C5" w:rsidRPr="009D7A51" w14:paraId="14504F38"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21F4D834" w14:textId="77777777" w:rsidR="00A956C5" w:rsidRPr="009D7A51" w:rsidRDefault="00A956C5" w:rsidP="00663360">
            <w:pPr>
              <w:pStyle w:val="cTableText"/>
              <w:ind w:left="475" w:hanging="475"/>
            </w:pPr>
            <w:r w:rsidRPr="009D7A51">
              <w:t>2.</w:t>
            </w:r>
            <w:r w:rsidRPr="009D7A51">
              <w:tab/>
              <w:t>PATIENT’S NAME (Last Name, First Name, Middle Initial)</w:t>
            </w:r>
          </w:p>
        </w:tc>
        <w:tc>
          <w:tcPr>
            <w:tcW w:w="5232" w:type="dxa"/>
            <w:tcBorders>
              <w:top w:val="single" w:sz="6" w:space="0" w:color="000000"/>
              <w:left w:val="nil"/>
              <w:bottom w:val="single" w:sz="6" w:space="0" w:color="000000"/>
              <w:right w:val="nil"/>
            </w:tcBorders>
          </w:tcPr>
          <w:p w14:paraId="49170CBB" w14:textId="77777777" w:rsidR="00A956C5" w:rsidRPr="009D7A51" w:rsidRDefault="00A956C5" w:rsidP="00663360">
            <w:pPr>
              <w:pStyle w:val="cTableText"/>
            </w:pPr>
            <w:r w:rsidRPr="009D7A51">
              <w:t>Beneficiary’s or participant’s last name and first name.</w:t>
            </w:r>
          </w:p>
        </w:tc>
      </w:tr>
      <w:tr w:rsidR="00A956C5" w:rsidRPr="009D7A51" w14:paraId="45A19808"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7FBDB14" w14:textId="77777777" w:rsidR="00A956C5" w:rsidRPr="009D7A51" w:rsidRDefault="00A956C5" w:rsidP="00663360">
            <w:pPr>
              <w:pStyle w:val="cTableText"/>
              <w:ind w:left="475" w:hanging="475"/>
            </w:pPr>
            <w:r w:rsidRPr="009D7A51">
              <w:t>3.</w:t>
            </w:r>
            <w:r w:rsidRPr="009D7A51">
              <w:tab/>
              <w:t xml:space="preserve">PATIENT’S BIRTH DATE </w:t>
            </w:r>
          </w:p>
        </w:tc>
        <w:tc>
          <w:tcPr>
            <w:tcW w:w="5232" w:type="dxa"/>
            <w:tcBorders>
              <w:top w:val="single" w:sz="6" w:space="0" w:color="000000"/>
              <w:left w:val="nil"/>
              <w:bottom w:val="nil"/>
              <w:right w:val="nil"/>
            </w:tcBorders>
          </w:tcPr>
          <w:p w14:paraId="44106FE6" w14:textId="77777777" w:rsidR="00A956C5" w:rsidRPr="009D7A51" w:rsidRDefault="00A956C5" w:rsidP="00663360">
            <w:pPr>
              <w:pStyle w:val="cTableText"/>
            </w:pPr>
            <w:r w:rsidRPr="009D7A51">
              <w:t xml:space="preserve">Beneficiary’s or participant’s date of birth as given on the individual’s Medicaid or </w:t>
            </w:r>
            <w:proofErr w:type="spellStart"/>
            <w:r w:rsidRPr="009D7A51">
              <w:t>ARKids</w:t>
            </w:r>
            <w:proofErr w:type="spellEnd"/>
            <w:r w:rsidRPr="009D7A51">
              <w:t xml:space="preserve"> First-A or </w:t>
            </w:r>
            <w:proofErr w:type="spellStart"/>
            <w:r w:rsidRPr="009D7A51">
              <w:t>ARKids</w:t>
            </w:r>
            <w:proofErr w:type="spellEnd"/>
            <w:r w:rsidRPr="009D7A51">
              <w:t xml:space="preserve"> First-B identification card. Format: MM/DD/YY.</w:t>
            </w:r>
          </w:p>
        </w:tc>
      </w:tr>
      <w:tr w:rsidR="00A956C5" w:rsidRPr="009D7A51" w14:paraId="15D3A81F"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63523DB3" w14:textId="77777777" w:rsidR="00A956C5" w:rsidRPr="009D7A51" w:rsidRDefault="00A956C5" w:rsidP="00663360">
            <w:pPr>
              <w:pStyle w:val="cTableText"/>
              <w:ind w:left="475" w:hanging="475"/>
            </w:pPr>
            <w:r w:rsidRPr="009D7A51">
              <w:tab/>
              <w:t>SEX</w:t>
            </w:r>
          </w:p>
        </w:tc>
        <w:tc>
          <w:tcPr>
            <w:tcW w:w="5232" w:type="dxa"/>
            <w:tcBorders>
              <w:top w:val="nil"/>
              <w:left w:val="nil"/>
              <w:bottom w:val="single" w:sz="6" w:space="0" w:color="000000"/>
              <w:right w:val="nil"/>
            </w:tcBorders>
          </w:tcPr>
          <w:p w14:paraId="6515F137" w14:textId="77777777" w:rsidR="00A956C5" w:rsidRPr="009D7A51" w:rsidRDefault="00A956C5" w:rsidP="00663360">
            <w:pPr>
              <w:pStyle w:val="cTableText"/>
            </w:pPr>
            <w:r w:rsidRPr="009D7A51">
              <w:t>Check M for male or F for female.</w:t>
            </w:r>
          </w:p>
        </w:tc>
      </w:tr>
      <w:tr w:rsidR="00A956C5" w:rsidRPr="009D7A51" w14:paraId="5E474CB2"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73E55845" w14:textId="77777777" w:rsidR="00A956C5" w:rsidRPr="009D7A51" w:rsidRDefault="00A956C5" w:rsidP="00663360">
            <w:pPr>
              <w:pStyle w:val="cTableText"/>
              <w:ind w:left="475" w:hanging="475"/>
            </w:pPr>
            <w:r w:rsidRPr="009D7A51">
              <w:t>4.</w:t>
            </w:r>
            <w:r w:rsidRPr="009D7A51">
              <w:tab/>
              <w:t>INSURED’S NAME (Last Name, First Name, Middle Initial)</w:t>
            </w:r>
          </w:p>
        </w:tc>
        <w:tc>
          <w:tcPr>
            <w:tcW w:w="5232" w:type="dxa"/>
            <w:tcBorders>
              <w:top w:val="single" w:sz="6" w:space="0" w:color="000000"/>
              <w:left w:val="nil"/>
              <w:bottom w:val="single" w:sz="6" w:space="0" w:color="000000"/>
              <w:right w:val="nil"/>
            </w:tcBorders>
          </w:tcPr>
          <w:p w14:paraId="407832F2" w14:textId="77777777" w:rsidR="00A956C5" w:rsidRPr="009D7A51" w:rsidRDefault="00A956C5" w:rsidP="00663360">
            <w:pPr>
              <w:pStyle w:val="cTableText"/>
            </w:pPr>
            <w:r w:rsidRPr="009D7A51">
              <w:t>Required if insurance affects this claim. Insured’s last name, first name, and middle initial.</w:t>
            </w:r>
          </w:p>
        </w:tc>
      </w:tr>
      <w:tr w:rsidR="00A956C5" w:rsidRPr="009D7A51" w14:paraId="676017D3"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7056403F" w14:textId="77777777" w:rsidR="00A956C5" w:rsidRPr="009D7A51" w:rsidRDefault="00A956C5" w:rsidP="00663360">
            <w:pPr>
              <w:pStyle w:val="cTableText"/>
              <w:ind w:left="475" w:hanging="475"/>
            </w:pPr>
            <w:r w:rsidRPr="009D7A51">
              <w:t>5.</w:t>
            </w:r>
            <w:r w:rsidRPr="009D7A51">
              <w:tab/>
              <w:t>PATIENT’S ADDRESS (No., Street)</w:t>
            </w:r>
          </w:p>
        </w:tc>
        <w:tc>
          <w:tcPr>
            <w:tcW w:w="5232" w:type="dxa"/>
            <w:tcBorders>
              <w:top w:val="single" w:sz="6" w:space="0" w:color="000000"/>
              <w:left w:val="nil"/>
              <w:bottom w:val="nil"/>
              <w:right w:val="nil"/>
            </w:tcBorders>
          </w:tcPr>
          <w:p w14:paraId="37EBAD32" w14:textId="77777777" w:rsidR="00A956C5" w:rsidRPr="009D7A51" w:rsidRDefault="00A956C5" w:rsidP="00663360">
            <w:pPr>
              <w:pStyle w:val="cTableText"/>
            </w:pPr>
            <w:r w:rsidRPr="009D7A51">
              <w:t>Optional. Beneficiary’s or participant’s complete</w:t>
            </w:r>
            <w:r w:rsidRPr="009D7A51">
              <w:rPr>
                <w:i/>
              </w:rPr>
              <w:t xml:space="preserve"> </w:t>
            </w:r>
            <w:r w:rsidRPr="009D7A51">
              <w:t>mailing address (street address or post office box).</w:t>
            </w:r>
          </w:p>
        </w:tc>
      </w:tr>
      <w:tr w:rsidR="00A956C5" w:rsidRPr="009D7A51" w14:paraId="1D00B491"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6C7EF07C" w14:textId="77777777" w:rsidR="00A956C5" w:rsidRPr="009D7A51" w:rsidRDefault="00A956C5" w:rsidP="00663360">
            <w:pPr>
              <w:pStyle w:val="cTableText"/>
              <w:ind w:left="475" w:hanging="475"/>
            </w:pPr>
            <w:r w:rsidRPr="009D7A51">
              <w:tab/>
              <w:t>CITY</w:t>
            </w:r>
          </w:p>
        </w:tc>
        <w:tc>
          <w:tcPr>
            <w:tcW w:w="5232" w:type="dxa"/>
            <w:tcBorders>
              <w:top w:val="nil"/>
              <w:left w:val="nil"/>
              <w:bottom w:val="nil"/>
              <w:right w:val="nil"/>
            </w:tcBorders>
          </w:tcPr>
          <w:p w14:paraId="5CDCC865" w14:textId="77777777" w:rsidR="00A956C5" w:rsidRPr="009D7A51" w:rsidRDefault="00A956C5" w:rsidP="00663360">
            <w:pPr>
              <w:pStyle w:val="cTableText"/>
            </w:pPr>
            <w:r w:rsidRPr="009D7A51">
              <w:t>Name of the city in which the beneficiary or participant resides.</w:t>
            </w:r>
          </w:p>
        </w:tc>
      </w:tr>
      <w:tr w:rsidR="00A956C5" w:rsidRPr="009D7A51" w14:paraId="259DBDA6"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3F1BEB67" w14:textId="77777777" w:rsidR="00A956C5" w:rsidRPr="009D7A51" w:rsidRDefault="00A956C5" w:rsidP="00663360">
            <w:pPr>
              <w:pStyle w:val="cTableText"/>
              <w:ind w:left="475" w:hanging="475"/>
            </w:pPr>
            <w:r w:rsidRPr="009D7A51">
              <w:tab/>
              <w:t>STATE</w:t>
            </w:r>
          </w:p>
        </w:tc>
        <w:tc>
          <w:tcPr>
            <w:tcW w:w="5232" w:type="dxa"/>
            <w:tcBorders>
              <w:top w:val="nil"/>
              <w:left w:val="nil"/>
              <w:bottom w:val="nil"/>
              <w:right w:val="nil"/>
            </w:tcBorders>
          </w:tcPr>
          <w:p w14:paraId="2D22A842" w14:textId="77777777" w:rsidR="00A956C5" w:rsidRPr="009D7A51" w:rsidRDefault="00A956C5" w:rsidP="00663360">
            <w:pPr>
              <w:pStyle w:val="cTableText"/>
            </w:pPr>
            <w:r w:rsidRPr="009D7A51">
              <w:t>Two-letter postal code for the state in which the beneficiary or participant resides.</w:t>
            </w:r>
          </w:p>
        </w:tc>
      </w:tr>
      <w:tr w:rsidR="00A956C5" w:rsidRPr="009D7A51" w14:paraId="44923A9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2F8162B2" w14:textId="77777777" w:rsidR="00A956C5" w:rsidRPr="009D7A51" w:rsidRDefault="00A956C5" w:rsidP="00663360">
            <w:pPr>
              <w:pStyle w:val="cTableText"/>
              <w:ind w:left="475" w:hanging="475"/>
            </w:pPr>
            <w:r w:rsidRPr="009D7A51">
              <w:tab/>
              <w:t>ZIP CODE</w:t>
            </w:r>
          </w:p>
        </w:tc>
        <w:tc>
          <w:tcPr>
            <w:tcW w:w="5232" w:type="dxa"/>
            <w:tcBorders>
              <w:top w:val="nil"/>
              <w:left w:val="nil"/>
              <w:bottom w:val="nil"/>
              <w:right w:val="nil"/>
            </w:tcBorders>
          </w:tcPr>
          <w:p w14:paraId="11B414E4" w14:textId="77777777" w:rsidR="00A956C5" w:rsidRPr="009D7A51" w:rsidRDefault="00A956C5" w:rsidP="00663360">
            <w:pPr>
              <w:pStyle w:val="cTableText"/>
            </w:pPr>
            <w:r w:rsidRPr="009D7A51">
              <w:t>Five-digit zip code; nine digits for post office box.</w:t>
            </w:r>
          </w:p>
        </w:tc>
      </w:tr>
      <w:tr w:rsidR="00A956C5" w:rsidRPr="009D7A51" w14:paraId="72B458D1" w14:textId="77777777" w:rsidTr="00663360">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38DE321B" w14:textId="77777777" w:rsidR="00A956C5" w:rsidRPr="009D7A51" w:rsidRDefault="00A956C5" w:rsidP="00663360">
            <w:pPr>
              <w:pStyle w:val="cTableText"/>
              <w:ind w:left="475" w:hanging="475"/>
            </w:pPr>
            <w:r w:rsidRPr="009D7A51">
              <w:tab/>
              <w:t>TELEPHONE (Include Area Code)</w:t>
            </w:r>
          </w:p>
        </w:tc>
        <w:tc>
          <w:tcPr>
            <w:tcW w:w="5232" w:type="dxa"/>
            <w:tcBorders>
              <w:top w:val="nil"/>
              <w:left w:val="nil"/>
              <w:bottom w:val="single" w:sz="4" w:space="0" w:color="auto"/>
              <w:right w:val="nil"/>
            </w:tcBorders>
          </w:tcPr>
          <w:p w14:paraId="3F3516B1" w14:textId="77777777" w:rsidR="00A956C5" w:rsidRPr="009D7A51" w:rsidRDefault="00A956C5" w:rsidP="00663360">
            <w:pPr>
              <w:pStyle w:val="cTableText"/>
            </w:pPr>
            <w:r w:rsidRPr="009D7A51">
              <w:t xml:space="preserve">The beneficiary’s or participant’s telephone number or the number of a reliable message/contact/ emergency telephone. </w:t>
            </w:r>
          </w:p>
        </w:tc>
      </w:tr>
      <w:tr w:rsidR="00A956C5" w:rsidRPr="009D7A51" w14:paraId="5AC3D3C7" w14:textId="77777777" w:rsidTr="00663360">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0BC045F0" w14:textId="77777777" w:rsidR="00A956C5" w:rsidRPr="009D7A51" w:rsidRDefault="00A956C5" w:rsidP="00663360">
            <w:pPr>
              <w:pStyle w:val="cTableText"/>
              <w:ind w:left="475" w:hanging="475"/>
            </w:pPr>
            <w:r w:rsidRPr="009D7A51">
              <w:t>6.</w:t>
            </w:r>
            <w:r w:rsidRPr="009D7A51">
              <w:tab/>
              <w:t>PATIENT RELATIONSHIP TO INSURED</w:t>
            </w:r>
          </w:p>
        </w:tc>
        <w:tc>
          <w:tcPr>
            <w:tcW w:w="5232" w:type="dxa"/>
            <w:tcBorders>
              <w:top w:val="single" w:sz="4" w:space="0" w:color="auto"/>
              <w:left w:val="nil"/>
              <w:bottom w:val="single" w:sz="6" w:space="0" w:color="000000"/>
              <w:right w:val="nil"/>
            </w:tcBorders>
          </w:tcPr>
          <w:p w14:paraId="6A47ACFA" w14:textId="77777777" w:rsidR="00A956C5" w:rsidRPr="009D7A51" w:rsidRDefault="00A956C5" w:rsidP="00663360">
            <w:pPr>
              <w:pStyle w:val="cTableText"/>
            </w:pPr>
            <w:r w:rsidRPr="009D7A51">
              <w:t>If insurance affects this claim, check the box indicating the patient’s relationship to the insured.</w:t>
            </w:r>
          </w:p>
        </w:tc>
      </w:tr>
      <w:tr w:rsidR="00A956C5" w:rsidRPr="009D7A51" w14:paraId="68810629"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25A054C8" w14:textId="77777777" w:rsidR="00A956C5" w:rsidRPr="009D7A51" w:rsidRDefault="00A956C5" w:rsidP="00663360">
            <w:pPr>
              <w:pStyle w:val="cTableText"/>
              <w:ind w:left="475" w:hanging="475"/>
            </w:pPr>
            <w:r w:rsidRPr="009D7A51">
              <w:t>7.</w:t>
            </w:r>
            <w:r w:rsidRPr="009D7A51">
              <w:tab/>
              <w:t>INSURED’S ADDRESS (No., Street)</w:t>
            </w:r>
          </w:p>
        </w:tc>
        <w:tc>
          <w:tcPr>
            <w:tcW w:w="5232" w:type="dxa"/>
            <w:tcBorders>
              <w:top w:val="single" w:sz="6" w:space="0" w:color="000000"/>
              <w:left w:val="nil"/>
              <w:bottom w:val="nil"/>
              <w:right w:val="nil"/>
            </w:tcBorders>
          </w:tcPr>
          <w:p w14:paraId="12E14E2E" w14:textId="77777777" w:rsidR="00A956C5" w:rsidRPr="009D7A51" w:rsidRDefault="00A956C5" w:rsidP="00663360">
            <w:pPr>
              <w:pStyle w:val="cTableText"/>
            </w:pPr>
            <w:r w:rsidRPr="009D7A51">
              <w:t>Required if insured’s address is different from the patient’s address.</w:t>
            </w:r>
          </w:p>
        </w:tc>
      </w:tr>
      <w:tr w:rsidR="00A956C5" w:rsidRPr="009D7A51" w14:paraId="4BBBA36C"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38D64FBA" w14:textId="77777777" w:rsidR="00A956C5" w:rsidRPr="009D7A51" w:rsidRDefault="00A956C5" w:rsidP="00663360">
            <w:pPr>
              <w:pStyle w:val="cTableText"/>
              <w:ind w:left="475" w:hanging="475"/>
            </w:pPr>
            <w:r w:rsidRPr="009D7A51">
              <w:tab/>
              <w:t>CITY</w:t>
            </w:r>
          </w:p>
        </w:tc>
        <w:tc>
          <w:tcPr>
            <w:tcW w:w="5232" w:type="dxa"/>
            <w:tcBorders>
              <w:top w:val="nil"/>
              <w:left w:val="nil"/>
              <w:bottom w:val="nil"/>
              <w:right w:val="nil"/>
            </w:tcBorders>
          </w:tcPr>
          <w:p w14:paraId="10BD5D94" w14:textId="77777777" w:rsidR="00A956C5" w:rsidRPr="009D7A51" w:rsidRDefault="00A956C5" w:rsidP="00663360">
            <w:pPr>
              <w:pStyle w:val="cTableText"/>
            </w:pPr>
          </w:p>
        </w:tc>
      </w:tr>
      <w:tr w:rsidR="00A956C5" w:rsidRPr="009D7A51" w14:paraId="7AD17C82"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87949F6" w14:textId="77777777" w:rsidR="00A956C5" w:rsidRPr="009D7A51" w:rsidRDefault="00A956C5" w:rsidP="00663360">
            <w:pPr>
              <w:pStyle w:val="cTableText"/>
              <w:ind w:left="475" w:hanging="475"/>
            </w:pPr>
            <w:r w:rsidRPr="009D7A51">
              <w:tab/>
              <w:t>STATE</w:t>
            </w:r>
          </w:p>
        </w:tc>
        <w:tc>
          <w:tcPr>
            <w:tcW w:w="5232" w:type="dxa"/>
            <w:tcBorders>
              <w:top w:val="nil"/>
              <w:left w:val="nil"/>
              <w:bottom w:val="nil"/>
              <w:right w:val="nil"/>
            </w:tcBorders>
          </w:tcPr>
          <w:p w14:paraId="60175980" w14:textId="77777777" w:rsidR="00A956C5" w:rsidRPr="009D7A51" w:rsidRDefault="00A956C5" w:rsidP="00663360">
            <w:pPr>
              <w:pStyle w:val="cTableText"/>
            </w:pPr>
          </w:p>
        </w:tc>
      </w:tr>
      <w:tr w:rsidR="00A956C5" w:rsidRPr="009D7A51" w14:paraId="2BED1A6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51A26E7A" w14:textId="77777777" w:rsidR="00A956C5" w:rsidRPr="009D7A51" w:rsidRDefault="00A956C5" w:rsidP="00663360">
            <w:pPr>
              <w:pStyle w:val="cTableText"/>
              <w:ind w:left="475" w:hanging="475"/>
            </w:pPr>
            <w:r w:rsidRPr="009D7A51">
              <w:tab/>
              <w:t>ZIP CODE</w:t>
            </w:r>
          </w:p>
        </w:tc>
        <w:tc>
          <w:tcPr>
            <w:tcW w:w="5232" w:type="dxa"/>
            <w:tcBorders>
              <w:top w:val="nil"/>
              <w:left w:val="nil"/>
              <w:bottom w:val="nil"/>
              <w:right w:val="nil"/>
            </w:tcBorders>
          </w:tcPr>
          <w:p w14:paraId="5F7523D9" w14:textId="77777777" w:rsidR="00A956C5" w:rsidRPr="009D7A51" w:rsidRDefault="00A956C5" w:rsidP="00663360">
            <w:pPr>
              <w:pStyle w:val="cTableText"/>
            </w:pPr>
          </w:p>
        </w:tc>
      </w:tr>
      <w:tr w:rsidR="00A956C5" w:rsidRPr="009D7A51" w14:paraId="2748C4BC" w14:textId="77777777" w:rsidTr="00663360">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421A5102" w14:textId="77777777" w:rsidR="00A956C5" w:rsidRPr="009D7A51" w:rsidRDefault="00A956C5" w:rsidP="00663360">
            <w:pPr>
              <w:pStyle w:val="cTableText"/>
              <w:ind w:left="475" w:hanging="475"/>
            </w:pPr>
            <w:r w:rsidRPr="009D7A51">
              <w:tab/>
              <w:t>TELEPHONE (Include Area Code)</w:t>
            </w:r>
          </w:p>
        </w:tc>
        <w:tc>
          <w:tcPr>
            <w:tcW w:w="5232" w:type="dxa"/>
            <w:tcBorders>
              <w:top w:val="nil"/>
              <w:left w:val="nil"/>
              <w:bottom w:val="single" w:sz="4" w:space="0" w:color="auto"/>
              <w:right w:val="nil"/>
            </w:tcBorders>
          </w:tcPr>
          <w:p w14:paraId="06A29C09" w14:textId="77777777" w:rsidR="00A956C5" w:rsidRPr="009D7A51" w:rsidRDefault="00A956C5" w:rsidP="00663360">
            <w:pPr>
              <w:pStyle w:val="cTableText"/>
            </w:pPr>
          </w:p>
        </w:tc>
      </w:tr>
      <w:tr w:rsidR="00A956C5" w:rsidRPr="009D7A51" w14:paraId="340D2FC6" w14:textId="77777777" w:rsidTr="00663360">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2DB0345E" w14:textId="77777777" w:rsidR="00A956C5" w:rsidRPr="009D7A51" w:rsidRDefault="00A956C5" w:rsidP="00663360">
            <w:pPr>
              <w:pStyle w:val="cTableText"/>
              <w:ind w:left="475" w:hanging="475"/>
            </w:pPr>
            <w:r w:rsidRPr="009D7A51">
              <w:t>8.</w:t>
            </w:r>
            <w:r w:rsidRPr="009D7A51">
              <w:tab/>
              <w:t>RESERVED</w:t>
            </w:r>
          </w:p>
        </w:tc>
        <w:tc>
          <w:tcPr>
            <w:tcW w:w="5232" w:type="dxa"/>
            <w:tcBorders>
              <w:top w:val="single" w:sz="4" w:space="0" w:color="auto"/>
              <w:left w:val="nil"/>
              <w:bottom w:val="single" w:sz="6" w:space="0" w:color="000000"/>
              <w:right w:val="nil"/>
            </w:tcBorders>
          </w:tcPr>
          <w:p w14:paraId="5BD5CC58" w14:textId="77777777" w:rsidR="00A956C5" w:rsidRPr="009D7A51" w:rsidRDefault="00A956C5" w:rsidP="00663360">
            <w:pPr>
              <w:pStyle w:val="cTableText"/>
            </w:pPr>
            <w:r w:rsidRPr="009D7A51">
              <w:t>Reserved for NUCC use.</w:t>
            </w:r>
          </w:p>
        </w:tc>
      </w:tr>
      <w:tr w:rsidR="00A956C5" w:rsidRPr="009D7A51" w14:paraId="343B5BC3"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78EE96AB" w14:textId="77777777" w:rsidR="00A956C5" w:rsidRPr="009D7A51" w:rsidRDefault="00A956C5" w:rsidP="00663360">
            <w:pPr>
              <w:pStyle w:val="ctext"/>
              <w:ind w:left="475" w:hanging="475"/>
            </w:pPr>
            <w:r w:rsidRPr="009D7A51">
              <w:t>9.</w:t>
            </w:r>
            <w:r w:rsidRPr="009D7A51">
              <w:tab/>
              <w:t>OTHER INSURED’S NAME (Last name, First Name, Middle Initial)</w:t>
            </w:r>
          </w:p>
        </w:tc>
        <w:tc>
          <w:tcPr>
            <w:tcW w:w="5232" w:type="dxa"/>
            <w:tcBorders>
              <w:top w:val="single" w:sz="6" w:space="0" w:color="000000"/>
              <w:left w:val="nil"/>
              <w:bottom w:val="nil"/>
              <w:right w:val="nil"/>
            </w:tcBorders>
          </w:tcPr>
          <w:p w14:paraId="741712DB" w14:textId="77777777" w:rsidR="00A956C5" w:rsidRPr="009D7A51" w:rsidRDefault="00A956C5" w:rsidP="00663360">
            <w:pPr>
              <w:pStyle w:val="cTableText"/>
            </w:pPr>
            <w:r w:rsidRPr="009D7A51">
              <w:t>If patient has other insurance coverage as indicated in Field 11d, the other insured’s last name, first name, and middle initial.</w:t>
            </w:r>
          </w:p>
        </w:tc>
      </w:tr>
      <w:tr w:rsidR="00A956C5" w:rsidRPr="009D7A51" w14:paraId="6F05C84C"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643C1996" w14:textId="77777777" w:rsidR="00A956C5" w:rsidRPr="009D7A51" w:rsidRDefault="00A956C5" w:rsidP="00663360">
            <w:pPr>
              <w:pStyle w:val="cTableText"/>
              <w:ind w:left="965" w:hanging="475"/>
            </w:pPr>
            <w:r w:rsidRPr="009D7A51">
              <w:t>a.</w:t>
            </w:r>
            <w:r w:rsidRPr="009D7A51">
              <w:tab/>
              <w:t>OTHER INSURED’S POLICY OR GROUP NUMBER</w:t>
            </w:r>
          </w:p>
        </w:tc>
        <w:tc>
          <w:tcPr>
            <w:tcW w:w="5232" w:type="dxa"/>
            <w:tcBorders>
              <w:top w:val="nil"/>
              <w:left w:val="nil"/>
              <w:bottom w:val="nil"/>
              <w:right w:val="nil"/>
            </w:tcBorders>
          </w:tcPr>
          <w:p w14:paraId="70AE6FD9" w14:textId="77777777" w:rsidR="00A956C5" w:rsidRPr="009D7A51" w:rsidRDefault="00A956C5" w:rsidP="00663360">
            <w:pPr>
              <w:pStyle w:val="cTableText"/>
            </w:pPr>
            <w:r w:rsidRPr="009D7A51">
              <w:t>Policy and/or group number of the insured individual.</w:t>
            </w:r>
          </w:p>
        </w:tc>
      </w:tr>
      <w:tr w:rsidR="00A956C5" w:rsidRPr="009D7A51" w14:paraId="472BFAF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4BE1FE2D" w14:textId="77777777" w:rsidR="00A956C5" w:rsidRPr="009D7A51" w:rsidRDefault="00A956C5" w:rsidP="00663360">
            <w:pPr>
              <w:pStyle w:val="cTableText"/>
              <w:ind w:left="965" w:hanging="475"/>
            </w:pPr>
            <w:r w:rsidRPr="009D7A51">
              <w:t>b.</w:t>
            </w:r>
            <w:r w:rsidRPr="009D7A51">
              <w:tab/>
              <w:t>RESERVED</w:t>
            </w:r>
          </w:p>
        </w:tc>
        <w:tc>
          <w:tcPr>
            <w:tcW w:w="5232" w:type="dxa"/>
            <w:tcBorders>
              <w:top w:val="nil"/>
              <w:left w:val="nil"/>
              <w:bottom w:val="nil"/>
              <w:right w:val="nil"/>
            </w:tcBorders>
          </w:tcPr>
          <w:p w14:paraId="37E0D3D9" w14:textId="77777777" w:rsidR="00A956C5" w:rsidRPr="009D7A51" w:rsidRDefault="00A956C5" w:rsidP="00663360">
            <w:pPr>
              <w:pStyle w:val="cTableText"/>
            </w:pPr>
            <w:r w:rsidRPr="009D7A51">
              <w:t>Reserved for NUCC use.</w:t>
            </w:r>
          </w:p>
        </w:tc>
      </w:tr>
      <w:tr w:rsidR="00A956C5" w:rsidRPr="009D7A51" w14:paraId="039AEB1E"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D475BA5" w14:textId="77777777" w:rsidR="00A956C5" w:rsidRPr="009D7A51" w:rsidRDefault="00A956C5" w:rsidP="00663360">
            <w:pPr>
              <w:pStyle w:val="cTableText"/>
              <w:ind w:left="965"/>
            </w:pPr>
            <w:r w:rsidRPr="009D7A51">
              <w:t>SEX</w:t>
            </w:r>
          </w:p>
        </w:tc>
        <w:tc>
          <w:tcPr>
            <w:tcW w:w="5232" w:type="dxa"/>
            <w:tcBorders>
              <w:top w:val="nil"/>
              <w:left w:val="nil"/>
              <w:bottom w:val="nil"/>
              <w:right w:val="nil"/>
            </w:tcBorders>
          </w:tcPr>
          <w:p w14:paraId="3593D68F" w14:textId="77777777" w:rsidR="00A956C5" w:rsidRPr="009D7A51" w:rsidRDefault="00A956C5" w:rsidP="00663360">
            <w:pPr>
              <w:pStyle w:val="cTableText"/>
            </w:pPr>
            <w:r w:rsidRPr="009D7A51">
              <w:t>Not required.</w:t>
            </w:r>
          </w:p>
        </w:tc>
      </w:tr>
      <w:tr w:rsidR="00A956C5" w:rsidRPr="009D7A51" w14:paraId="2C18A05D"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693A9618" w14:textId="77777777" w:rsidR="00A956C5" w:rsidRPr="009D7A51" w:rsidRDefault="00A956C5" w:rsidP="00663360">
            <w:pPr>
              <w:pStyle w:val="cTableText"/>
              <w:ind w:left="965" w:hanging="475"/>
            </w:pPr>
            <w:r w:rsidRPr="009D7A51">
              <w:t>c.</w:t>
            </w:r>
            <w:r w:rsidRPr="009D7A51">
              <w:tab/>
              <w:t>RESERVED</w:t>
            </w:r>
          </w:p>
        </w:tc>
        <w:tc>
          <w:tcPr>
            <w:tcW w:w="5232" w:type="dxa"/>
            <w:tcBorders>
              <w:top w:val="nil"/>
              <w:left w:val="nil"/>
              <w:bottom w:val="nil"/>
              <w:right w:val="nil"/>
            </w:tcBorders>
          </w:tcPr>
          <w:p w14:paraId="079CF967" w14:textId="77777777" w:rsidR="00A956C5" w:rsidRPr="009D7A51" w:rsidRDefault="00A956C5" w:rsidP="00663360">
            <w:pPr>
              <w:pStyle w:val="cTableText"/>
            </w:pPr>
            <w:r w:rsidRPr="009D7A51">
              <w:t>Reserved for NUCC use.</w:t>
            </w:r>
          </w:p>
        </w:tc>
      </w:tr>
      <w:tr w:rsidR="00A956C5" w:rsidRPr="009D7A51" w14:paraId="4BC181FC"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47CCCF40" w14:textId="77777777" w:rsidR="00A956C5" w:rsidRPr="009D7A51" w:rsidRDefault="00A956C5" w:rsidP="00663360">
            <w:pPr>
              <w:pStyle w:val="cTableText"/>
              <w:ind w:left="965" w:hanging="475"/>
            </w:pPr>
            <w:r w:rsidRPr="009D7A51">
              <w:lastRenderedPageBreak/>
              <w:t>d.</w:t>
            </w:r>
            <w:r w:rsidRPr="009D7A51">
              <w:tab/>
              <w:t>INSURANCE PLAN NAME OR PROGRAM NAME</w:t>
            </w:r>
          </w:p>
        </w:tc>
        <w:tc>
          <w:tcPr>
            <w:tcW w:w="5232" w:type="dxa"/>
            <w:tcBorders>
              <w:top w:val="nil"/>
              <w:left w:val="nil"/>
              <w:bottom w:val="single" w:sz="6" w:space="0" w:color="000000"/>
              <w:right w:val="nil"/>
            </w:tcBorders>
          </w:tcPr>
          <w:p w14:paraId="17379E53" w14:textId="77777777" w:rsidR="00A956C5" w:rsidRPr="009D7A51" w:rsidRDefault="00A956C5" w:rsidP="00663360">
            <w:pPr>
              <w:pStyle w:val="cTableText"/>
            </w:pPr>
            <w:r w:rsidRPr="009D7A51">
              <w:t>Name of the insurance company.</w:t>
            </w:r>
          </w:p>
        </w:tc>
      </w:tr>
      <w:tr w:rsidR="00A956C5" w:rsidRPr="009D7A51" w14:paraId="2FC5BF10"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59A4845A" w14:textId="77777777" w:rsidR="00A956C5" w:rsidRPr="009D7A51" w:rsidRDefault="00A956C5" w:rsidP="00663360">
            <w:pPr>
              <w:pStyle w:val="cTableText"/>
              <w:ind w:left="475" w:hanging="475"/>
            </w:pPr>
            <w:r w:rsidRPr="009D7A51">
              <w:t>10.</w:t>
            </w:r>
            <w:r w:rsidRPr="009D7A51">
              <w:tab/>
              <w:t>IS PATIENT’S CONDITION RELATED TO:</w:t>
            </w:r>
          </w:p>
        </w:tc>
        <w:tc>
          <w:tcPr>
            <w:tcW w:w="5232" w:type="dxa"/>
            <w:tcBorders>
              <w:top w:val="single" w:sz="6" w:space="0" w:color="000000"/>
              <w:left w:val="nil"/>
              <w:bottom w:val="nil"/>
              <w:right w:val="nil"/>
            </w:tcBorders>
          </w:tcPr>
          <w:p w14:paraId="17764870" w14:textId="77777777" w:rsidR="00A956C5" w:rsidRPr="009D7A51" w:rsidRDefault="00A956C5" w:rsidP="00663360">
            <w:pPr>
              <w:pStyle w:val="cTableText"/>
            </w:pPr>
          </w:p>
        </w:tc>
      </w:tr>
      <w:tr w:rsidR="00A956C5" w:rsidRPr="009D7A51" w14:paraId="13ECB937"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503FA280" w14:textId="77777777" w:rsidR="00A956C5" w:rsidRPr="009D7A51" w:rsidRDefault="00A956C5" w:rsidP="00663360">
            <w:pPr>
              <w:pStyle w:val="cTableText"/>
              <w:ind w:left="965" w:hanging="475"/>
            </w:pPr>
            <w:r w:rsidRPr="009D7A51">
              <w:t>a.</w:t>
            </w:r>
            <w:r w:rsidRPr="009D7A51">
              <w:tab/>
              <w:t>EMPLOYMENT? (Current or Previous)</w:t>
            </w:r>
          </w:p>
        </w:tc>
        <w:tc>
          <w:tcPr>
            <w:tcW w:w="5232" w:type="dxa"/>
            <w:tcBorders>
              <w:top w:val="nil"/>
              <w:left w:val="nil"/>
              <w:bottom w:val="nil"/>
              <w:right w:val="nil"/>
            </w:tcBorders>
          </w:tcPr>
          <w:p w14:paraId="3449F299" w14:textId="77777777" w:rsidR="00A956C5" w:rsidRPr="009D7A51" w:rsidRDefault="00A956C5" w:rsidP="00663360">
            <w:pPr>
              <w:pStyle w:val="cTableText"/>
            </w:pPr>
            <w:r w:rsidRPr="009D7A51">
              <w:t>Check YES or NO.</w:t>
            </w:r>
          </w:p>
        </w:tc>
      </w:tr>
      <w:tr w:rsidR="00A956C5" w:rsidRPr="009D7A51" w14:paraId="476DA7DF"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B8A4074" w14:textId="77777777" w:rsidR="00A956C5" w:rsidRPr="009D7A51" w:rsidRDefault="00A956C5" w:rsidP="00663360">
            <w:pPr>
              <w:pStyle w:val="cTableText"/>
              <w:ind w:left="965" w:hanging="475"/>
            </w:pPr>
            <w:r w:rsidRPr="009D7A51">
              <w:t>b.</w:t>
            </w:r>
            <w:r w:rsidRPr="009D7A51">
              <w:tab/>
              <w:t xml:space="preserve">AUTO ACCIDENT? </w:t>
            </w:r>
          </w:p>
        </w:tc>
        <w:tc>
          <w:tcPr>
            <w:tcW w:w="5232" w:type="dxa"/>
            <w:tcBorders>
              <w:top w:val="nil"/>
              <w:left w:val="nil"/>
              <w:bottom w:val="nil"/>
              <w:right w:val="nil"/>
            </w:tcBorders>
          </w:tcPr>
          <w:p w14:paraId="01D79B4E" w14:textId="77777777" w:rsidR="00A956C5" w:rsidRPr="009D7A51" w:rsidRDefault="00A956C5" w:rsidP="00663360">
            <w:pPr>
              <w:pStyle w:val="cTableText"/>
            </w:pPr>
            <w:r w:rsidRPr="009D7A51">
              <w:t>Required when an auto accident is related to the services. Check YES or NO.</w:t>
            </w:r>
          </w:p>
        </w:tc>
      </w:tr>
      <w:tr w:rsidR="00A956C5" w:rsidRPr="009D7A51" w14:paraId="3260F45B"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54CDFA1E" w14:textId="77777777" w:rsidR="00A956C5" w:rsidRPr="009D7A51" w:rsidRDefault="00A956C5" w:rsidP="00663360">
            <w:pPr>
              <w:pStyle w:val="cTableText"/>
              <w:ind w:left="965" w:hanging="475"/>
            </w:pPr>
            <w:r w:rsidRPr="009D7A51">
              <w:tab/>
              <w:t>PLACE (State)</w:t>
            </w:r>
          </w:p>
        </w:tc>
        <w:tc>
          <w:tcPr>
            <w:tcW w:w="5232" w:type="dxa"/>
            <w:tcBorders>
              <w:top w:val="nil"/>
              <w:left w:val="nil"/>
              <w:bottom w:val="nil"/>
              <w:right w:val="nil"/>
            </w:tcBorders>
          </w:tcPr>
          <w:p w14:paraId="7D013526" w14:textId="77777777" w:rsidR="00A956C5" w:rsidRPr="009D7A51" w:rsidRDefault="00A956C5" w:rsidP="00663360">
            <w:pPr>
              <w:pStyle w:val="cTableText"/>
            </w:pPr>
            <w:r w:rsidRPr="009D7A51">
              <w:t>If 10b is YES, the two-letter postal abbreviation for the state in which the automobile accident took place.</w:t>
            </w:r>
          </w:p>
        </w:tc>
      </w:tr>
      <w:tr w:rsidR="00A956C5" w:rsidRPr="009D7A51" w14:paraId="1C35982F"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4C8B2325" w14:textId="77777777" w:rsidR="00A956C5" w:rsidRPr="009D7A51" w:rsidRDefault="00A956C5" w:rsidP="00663360">
            <w:pPr>
              <w:pStyle w:val="cTableText"/>
              <w:ind w:left="965" w:hanging="475"/>
            </w:pPr>
            <w:r w:rsidRPr="009D7A51">
              <w:t>c.</w:t>
            </w:r>
            <w:r w:rsidRPr="009D7A51">
              <w:tab/>
              <w:t>OTHER ACCIDENT?</w:t>
            </w:r>
          </w:p>
        </w:tc>
        <w:tc>
          <w:tcPr>
            <w:tcW w:w="5232" w:type="dxa"/>
            <w:tcBorders>
              <w:top w:val="nil"/>
              <w:left w:val="nil"/>
              <w:bottom w:val="nil"/>
              <w:right w:val="nil"/>
            </w:tcBorders>
          </w:tcPr>
          <w:p w14:paraId="10D0255A" w14:textId="77777777" w:rsidR="00A956C5" w:rsidRPr="009D7A51" w:rsidRDefault="00A956C5" w:rsidP="00663360">
            <w:pPr>
              <w:pStyle w:val="cTableText"/>
            </w:pPr>
            <w:r w:rsidRPr="009D7A51">
              <w:t>Required when an accident other than automobile is related to the services. Check YES or NO.</w:t>
            </w:r>
          </w:p>
        </w:tc>
      </w:tr>
      <w:tr w:rsidR="00A956C5" w:rsidRPr="009D7A51" w14:paraId="24A22921"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4F1BF62D" w14:textId="77777777" w:rsidR="00A956C5" w:rsidRPr="009D7A51" w:rsidRDefault="00A956C5" w:rsidP="00663360">
            <w:pPr>
              <w:pStyle w:val="cTableText"/>
              <w:ind w:left="965" w:hanging="475"/>
            </w:pPr>
            <w:r w:rsidRPr="009D7A51">
              <w:t>d.</w:t>
            </w:r>
            <w:r w:rsidRPr="009D7A51">
              <w:tab/>
              <w:t>CLAIM CODES</w:t>
            </w:r>
          </w:p>
        </w:tc>
        <w:tc>
          <w:tcPr>
            <w:tcW w:w="5232" w:type="dxa"/>
            <w:tcBorders>
              <w:top w:val="nil"/>
              <w:left w:val="nil"/>
              <w:bottom w:val="single" w:sz="6" w:space="0" w:color="000000"/>
              <w:right w:val="nil"/>
            </w:tcBorders>
          </w:tcPr>
          <w:p w14:paraId="7EBFF18A" w14:textId="77777777" w:rsidR="00A956C5" w:rsidRPr="009D7A51" w:rsidRDefault="00A956C5" w:rsidP="00663360">
            <w:pPr>
              <w:pStyle w:val="cTableText"/>
            </w:pPr>
            <w:r w:rsidRPr="009D7A51">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48" w:history="1">
              <w:r w:rsidRPr="009D7A51">
                <w:rPr>
                  <w:rStyle w:val="Hyperlink"/>
                </w:rPr>
                <w:t>www.nucc.org</w:t>
              </w:r>
            </w:hyperlink>
            <w:r w:rsidRPr="009D7A51">
              <w:t xml:space="preserve"> under Code Sets.</w:t>
            </w:r>
          </w:p>
        </w:tc>
      </w:tr>
      <w:tr w:rsidR="00A956C5" w:rsidRPr="009D7A51" w14:paraId="1A257329"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7C10A356" w14:textId="77777777" w:rsidR="00A956C5" w:rsidRPr="009D7A51" w:rsidRDefault="00A956C5" w:rsidP="00663360">
            <w:pPr>
              <w:pStyle w:val="cTableText"/>
              <w:ind w:left="475" w:hanging="475"/>
            </w:pPr>
            <w:r w:rsidRPr="009D7A51">
              <w:t>11.</w:t>
            </w:r>
            <w:r w:rsidRPr="009D7A51">
              <w:tab/>
              <w:t>INSURED’S POLICY GROUP OR FECA NUMBER</w:t>
            </w:r>
          </w:p>
        </w:tc>
        <w:tc>
          <w:tcPr>
            <w:tcW w:w="5232" w:type="dxa"/>
            <w:tcBorders>
              <w:top w:val="single" w:sz="6" w:space="0" w:color="000000"/>
              <w:left w:val="nil"/>
              <w:bottom w:val="nil"/>
              <w:right w:val="nil"/>
            </w:tcBorders>
          </w:tcPr>
          <w:p w14:paraId="25571DF8" w14:textId="77777777" w:rsidR="00A956C5" w:rsidRPr="009D7A51" w:rsidRDefault="00A956C5" w:rsidP="00663360">
            <w:pPr>
              <w:pStyle w:val="cTableText"/>
            </w:pPr>
            <w:r w:rsidRPr="009D7A51">
              <w:t xml:space="preserve">Not required when Medicaid is the only </w:t>
            </w:r>
            <w:proofErr w:type="spellStart"/>
            <w:r w:rsidRPr="009D7A51">
              <w:t>payer</w:t>
            </w:r>
            <w:proofErr w:type="spellEnd"/>
            <w:r w:rsidRPr="009D7A51">
              <w:t>.</w:t>
            </w:r>
          </w:p>
        </w:tc>
      </w:tr>
      <w:tr w:rsidR="00A956C5" w:rsidRPr="009D7A51" w14:paraId="1D74EE8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29BFAAFC" w14:textId="77777777" w:rsidR="00A956C5" w:rsidRPr="009D7A51" w:rsidRDefault="00A956C5" w:rsidP="00663360">
            <w:pPr>
              <w:pStyle w:val="cTableText"/>
              <w:ind w:left="965" w:hanging="475"/>
            </w:pPr>
            <w:r w:rsidRPr="009D7A51">
              <w:t>a.</w:t>
            </w:r>
            <w:r w:rsidRPr="009D7A51">
              <w:tab/>
              <w:t>INSURED’S DATE OF BIRTH</w:t>
            </w:r>
          </w:p>
        </w:tc>
        <w:tc>
          <w:tcPr>
            <w:tcW w:w="5232" w:type="dxa"/>
            <w:tcBorders>
              <w:top w:val="nil"/>
              <w:left w:val="nil"/>
              <w:bottom w:val="nil"/>
              <w:right w:val="nil"/>
            </w:tcBorders>
          </w:tcPr>
          <w:p w14:paraId="390F5D24" w14:textId="77777777" w:rsidR="00A956C5" w:rsidRPr="009D7A51" w:rsidRDefault="00A956C5" w:rsidP="00663360">
            <w:pPr>
              <w:pStyle w:val="cTableText"/>
            </w:pPr>
            <w:r w:rsidRPr="009D7A51">
              <w:t>Not required.</w:t>
            </w:r>
          </w:p>
        </w:tc>
      </w:tr>
      <w:tr w:rsidR="00A956C5" w:rsidRPr="009D7A51" w14:paraId="0448C67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29EF1FE3" w14:textId="77777777" w:rsidR="00A956C5" w:rsidRPr="009D7A51" w:rsidRDefault="00A956C5" w:rsidP="00663360">
            <w:pPr>
              <w:pStyle w:val="cTableText"/>
              <w:ind w:left="965" w:hanging="475"/>
            </w:pPr>
            <w:r w:rsidRPr="009D7A51">
              <w:tab/>
              <w:t>SEX</w:t>
            </w:r>
          </w:p>
        </w:tc>
        <w:tc>
          <w:tcPr>
            <w:tcW w:w="5232" w:type="dxa"/>
            <w:tcBorders>
              <w:top w:val="nil"/>
              <w:left w:val="nil"/>
              <w:bottom w:val="nil"/>
              <w:right w:val="nil"/>
            </w:tcBorders>
          </w:tcPr>
          <w:p w14:paraId="55A70A73" w14:textId="77777777" w:rsidR="00A956C5" w:rsidRPr="009D7A51" w:rsidRDefault="00A956C5" w:rsidP="00663360">
            <w:pPr>
              <w:pStyle w:val="cTableText"/>
            </w:pPr>
            <w:r w:rsidRPr="009D7A51">
              <w:t>Not required.</w:t>
            </w:r>
          </w:p>
        </w:tc>
      </w:tr>
      <w:tr w:rsidR="00A956C5" w:rsidRPr="009D7A51" w14:paraId="074C49EA"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6F22076" w14:textId="77777777" w:rsidR="00A956C5" w:rsidRPr="009D7A51" w:rsidRDefault="00A956C5" w:rsidP="00663360">
            <w:pPr>
              <w:pStyle w:val="cTableText"/>
              <w:ind w:left="965" w:hanging="475"/>
            </w:pPr>
            <w:r w:rsidRPr="009D7A51">
              <w:t>b.</w:t>
            </w:r>
            <w:r w:rsidRPr="009D7A51">
              <w:tab/>
              <w:t>OTHER CLAIM ID NUMBER</w:t>
            </w:r>
          </w:p>
        </w:tc>
        <w:tc>
          <w:tcPr>
            <w:tcW w:w="5232" w:type="dxa"/>
            <w:tcBorders>
              <w:top w:val="nil"/>
              <w:left w:val="nil"/>
              <w:bottom w:val="nil"/>
              <w:right w:val="nil"/>
            </w:tcBorders>
          </w:tcPr>
          <w:p w14:paraId="41D44448" w14:textId="77777777" w:rsidR="00A956C5" w:rsidRPr="009D7A51" w:rsidRDefault="00A956C5" w:rsidP="00663360">
            <w:pPr>
              <w:pStyle w:val="cTableText"/>
            </w:pPr>
            <w:r w:rsidRPr="009D7A51">
              <w:t>Not required.</w:t>
            </w:r>
          </w:p>
        </w:tc>
      </w:tr>
      <w:tr w:rsidR="00A956C5" w:rsidRPr="009D7A51" w14:paraId="2E8C4576"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14BC3BA0" w14:textId="77777777" w:rsidR="00A956C5" w:rsidRPr="009D7A51" w:rsidRDefault="00A956C5" w:rsidP="00663360">
            <w:pPr>
              <w:pStyle w:val="cTableText"/>
              <w:ind w:left="965" w:hanging="475"/>
            </w:pPr>
            <w:r w:rsidRPr="009D7A51">
              <w:t>c.</w:t>
            </w:r>
            <w:r w:rsidRPr="009D7A51">
              <w:tab/>
              <w:t>INSURANCE PLAN NAME OR PROGRAM NAME</w:t>
            </w:r>
          </w:p>
        </w:tc>
        <w:tc>
          <w:tcPr>
            <w:tcW w:w="5232" w:type="dxa"/>
            <w:tcBorders>
              <w:top w:val="nil"/>
              <w:left w:val="nil"/>
              <w:bottom w:val="nil"/>
              <w:right w:val="nil"/>
            </w:tcBorders>
          </w:tcPr>
          <w:p w14:paraId="144823A6" w14:textId="77777777" w:rsidR="00A956C5" w:rsidRPr="009D7A51" w:rsidRDefault="00A956C5" w:rsidP="00663360">
            <w:pPr>
              <w:pStyle w:val="cTableText"/>
            </w:pPr>
            <w:r w:rsidRPr="009D7A51">
              <w:t>Not required.</w:t>
            </w:r>
          </w:p>
        </w:tc>
      </w:tr>
      <w:tr w:rsidR="00A956C5" w:rsidRPr="009D7A51" w14:paraId="7204B31B"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56519582" w14:textId="77777777" w:rsidR="00A956C5" w:rsidRPr="009D7A51" w:rsidRDefault="00A956C5" w:rsidP="00663360">
            <w:pPr>
              <w:pStyle w:val="cTableText"/>
              <w:ind w:left="965" w:hanging="475"/>
            </w:pPr>
            <w:r w:rsidRPr="009D7A51">
              <w:t>d.</w:t>
            </w:r>
            <w:r w:rsidRPr="009D7A51">
              <w:tab/>
              <w:t>IS THERE ANOTHER HEALTH BENEFIT PLAN?</w:t>
            </w:r>
          </w:p>
        </w:tc>
        <w:tc>
          <w:tcPr>
            <w:tcW w:w="5232" w:type="dxa"/>
            <w:tcBorders>
              <w:top w:val="nil"/>
              <w:left w:val="nil"/>
              <w:bottom w:val="single" w:sz="6" w:space="0" w:color="000000"/>
              <w:right w:val="nil"/>
            </w:tcBorders>
          </w:tcPr>
          <w:p w14:paraId="12E18DAC" w14:textId="77777777" w:rsidR="00A956C5" w:rsidRPr="009D7A51" w:rsidRDefault="00A956C5" w:rsidP="00663360">
            <w:pPr>
              <w:pStyle w:val="cTableText"/>
            </w:pPr>
            <w:r w:rsidRPr="009D7A51">
              <w:t>When private or other insurance may or will cover any of the services, check YES and complete items 9, 9a and 9d. Only one box can be marked.</w:t>
            </w:r>
          </w:p>
        </w:tc>
      </w:tr>
      <w:tr w:rsidR="00A956C5" w:rsidRPr="009D7A51" w14:paraId="4B6F8ACF"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395818C8" w14:textId="77777777" w:rsidR="00A956C5" w:rsidRPr="009D7A51" w:rsidRDefault="00A956C5" w:rsidP="00663360">
            <w:pPr>
              <w:pStyle w:val="cTableText"/>
              <w:ind w:left="475" w:hanging="475"/>
            </w:pPr>
            <w:r w:rsidRPr="009D7A51">
              <w:t>12.</w:t>
            </w:r>
            <w:r w:rsidRPr="009D7A51">
              <w:tab/>
              <w:t>PATIENT’S OR AUTHORIZED PERSON’S SIGNATURE</w:t>
            </w:r>
          </w:p>
        </w:tc>
        <w:tc>
          <w:tcPr>
            <w:tcW w:w="5232" w:type="dxa"/>
            <w:tcBorders>
              <w:top w:val="single" w:sz="6" w:space="0" w:color="000000"/>
              <w:left w:val="nil"/>
              <w:bottom w:val="single" w:sz="6" w:space="0" w:color="000000"/>
              <w:right w:val="nil"/>
            </w:tcBorders>
          </w:tcPr>
          <w:p w14:paraId="03BB81CF" w14:textId="77777777" w:rsidR="00A956C5" w:rsidRPr="009D7A51" w:rsidRDefault="00A956C5" w:rsidP="00663360">
            <w:pPr>
              <w:pStyle w:val="cTableText"/>
            </w:pPr>
            <w:r w:rsidRPr="009D7A51">
              <w:t>Enter “Signature on File,” “SOF” or legal signature.</w:t>
            </w:r>
          </w:p>
        </w:tc>
      </w:tr>
      <w:tr w:rsidR="00A956C5" w:rsidRPr="009D7A51" w14:paraId="17A7E295"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112D1246" w14:textId="77777777" w:rsidR="00A956C5" w:rsidRPr="009D7A51" w:rsidRDefault="00A956C5" w:rsidP="00663360">
            <w:pPr>
              <w:pStyle w:val="cTableText"/>
              <w:ind w:left="475" w:hanging="475"/>
            </w:pPr>
            <w:r w:rsidRPr="009D7A51">
              <w:t>13.</w:t>
            </w:r>
            <w:r w:rsidRPr="009D7A51">
              <w:tab/>
              <w:t>INSURED’S OR AUTHORIZED PERSON’S SIGNATURE</w:t>
            </w:r>
          </w:p>
        </w:tc>
        <w:tc>
          <w:tcPr>
            <w:tcW w:w="5232" w:type="dxa"/>
            <w:tcBorders>
              <w:top w:val="single" w:sz="6" w:space="0" w:color="000000"/>
              <w:left w:val="nil"/>
              <w:bottom w:val="single" w:sz="6" w:space="0" w:color="000000"/>
              <w:right w:val="nil"/>
            </w:tcBorders>
          </w:tcPr>
          <w:p w14:paraId="0922D090" w14:textId="77777777" w:rsidR="00A956C5" w:rsidRPr="009D7A51" w:rsidRDefault="00A956C5" w:rsidP="00663360">
            <w:pPr>
              <w:pStyle w:val="cTableText"/>
            </w:pPr>
            <w:r w:rsidRPr="009D7A51">
              <w:t>Enter “Signature on File,” “SOF” or legal signature.</w:t>
            </w:r>
          </w:p>
        </w:tc>
      </w:tr>
      <w:tr w:rsidR="00A956C5" w:rsidRPr="009D7A51" w14:paraId="2A295137"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1EAC1F6F" w14:textId="77777777" w:rsidR="00A956C5" w:rsidRPr="009D7A51" w:rsidRDefault="00A956C5" w:rsidP="00663360">
            <w:pPr>
              <w:pStyle w:val="cTableText"/>
              <w:ind w:left="475" w:hanging="475"/>
            </w:pPr>
            <w:r w:rsidRPr="009D7A51">
              <w:t>14.</w:t>
            </w:r>
            <w:r w:rsidRPr="009D7A51">
              <w:tab/>
              <w:t>DATE OF CURRENT:</w:t>
            </w:r>
          </w:p>
          <w:p w14:paraId="4C3EACBB" w14:textId="77777777" w:rsidR="00A956C5" w:rsidRPr="009D7A51" w:rsidRDefault="00A956C5" w:rsidP="00663360">
            <w:pPr>
              <w:pStyle w:val="cnumbered"/>
              <w:ind w:left="475" w:firstLine="0"/>
            </w:pPr>
            <w:r w:rsidRPr="009D7A51">
              <w:t>ILLNESS (First symptom) OR</w:t>
            </w:r>
            <w:r w:rsidRPr="009D7A51">
              <w:br/>
              <w:t>INJURY (Accident) OR</w:t>
            </w:r>
            <w:r w:rsidRPr="009D7A51">
              <w:br/>
              <w:t>PREGNANCY (LMP)</w:t>
            </w:r>
          </w:p>
        </w:tc>
        <w:tc>
          <w:tcPr>
            <w:tcW w:w="5232" w:type="dxa"/>
            <w:tcBorders>
              <w:top w:val="single" w:sz="6" w:space="0" w:color="000000"/>
              <w:left w:val="nil"/>
              <w:bottom w:val="single" w:sz="6" w:space="0" w:color="000000"/>
              <w:right w:val="nil"/>
            </w:tcBorders>
          </w:tcPr>
          <w:p w14:paraId="1B755FBF" w14:textId="77777777" w:rsidR="00A956C5" w:rsidRPr="009D7A51" w:rsidRDefault="00A956C5" w:rsidP="00663360">
            <w:pPr>
              <w:pStyle w:val="cTableText"/>
            </w:pPr>
            <w:r w:rsidRPr="009D7A51">
              <w:t xml:space="preserve">Required when services furnished are related to an accident, whether the accident is recent or in the past. Date of the accident. </w:t>
            </w:r>
          </w:p>
          <w:p w14:paraId="00E6E5C0" w14:textId="77777777" w:rsidR="00A956C5" w:rsidRPr="009D7A51" w:rsidRDefault="00A956C5" w:rsidP="00663360">
            <w:pPr>
              <w:pStyle w:val="cTableText"/>
            </w:pPr>
          </w:p>
          <w:p w14:paraId="3508B58A" w14:textId="77777777" w:rsidR="00A956C5" w:rsidRPr="009D7A51" w:rsidRDefault="00A956C5" w:rsidP="00663360">
            <w:pPr>
              <w:pStyle w:val="cTableText"/>
            </w:pPr>
            <w:r w:rsidRPr="009D7A51">
              <w:t>Enter the qualifier to the right of the vertical dotted line. Use Qualifier 431 Onset of Current Symptoms or Illness; 484 Last Menstrual Period.</w:t>
            </w:r>
          </w:p>
        </w:tc>
      </w:tr>
      <w:tr w:rsidR="00A956C5" w:rsidRPr="009D7A51" w14:paraId="7754A73B"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0E1D8768" w14:textId="77777777" w:rsidR="00A956C5" w:rsidRPr="009D7A51" w:rsidRDefault="00A956C5" w:rsidP="00663360">
            <w:pPr>
              <w:pStyle w:val="cTableText"/>
              <w:ind w:left="475" w:hanging="475"/>
            </w:pPr>
            <w:r w:rsidRPr="009D7A51">
              <w:lastRenderedPageBreak/>
              <w:t>15.</w:t>
            </w:r>
            <w:r w:rsidRPr="009D7A51">
              <w:tab/>
              <w:t>OTHER DATE</w:t>
            </w:r>
          </w:p>
        </w:tc>
        <w:tc>
          <w:tcPr>
            <w:tcW w:w="5232" w:type="dxa"/>
            <w:tcBorders>
              <w:top w:val="single" w:sz="6" w:space="0" w:color="000000"/>
              <w:left w:val="nil"/>
              <w:bottom w:val="single" w:sz="6" w:space="0" w:color="000000"/>
              <w:right w:val="nil"/>
            </w:tcBorders>
          </w:tcPr>
          <w:p w14:paraId="1DE06980" w14:textId="77777777" w:rsidR="00A956C5" w:rsidRPr="009D7A51" w:rsidRDefault="00A956C5" w:rsidP="00663360">
            <w:pPr>
              <w:pStyle w:val="cTableText"/>
            </w:pPr>
            <w:r w:rsidRPr="009D7A51">
              <w:t xml:space="preserve">Enter another date related to the beneficiary’s condition or treatment. Enter the qualifier between the left-hand set of vertical, dotted lines. </w:t>
            </w:r>
          </w:p>
          <w:p w14:paraId="453C24FC" w14:textId="77777777" w:rsidR="00A956C5" w:rsidRPr="009D7A51" w:rsidRDefault="00A956C5" w:rsidP="00663360">
            <w:pPr>
              <w:pStyle w:val="cTableText"/>
            </w:pPr>
            <w:r w:rsidRPr="009D7A51">
              <w:t xml:space="preserve">The “Other Date” identifies additional date information about the beneficiary’s condition or treatment. Use qualifiers: </w:t>
            </w:r>
          </w:p>
          <w:p w14:paraId="2F63B2B3" w14:textId="77777777" w:rsidR="00A956C5" w:rsidRPr="009D7A51" w:rsidRDefault="00A956C5" w:rsidP="00663360">
            <w:pPr>
              <w:pStyle w:val="cTableText"/>
              <w:ind w:left="475" w:hanging="475"/>
            </w:pPr>
            <w:r w:rsidRPr="009D7A51">
              <w:t>454 Initial Treatment</w:t>
            </w:r>
          </w:p>
          <w:p w14:paraId="1ECB426A" w14:textId="77777777" w:rsidR="00A956C5" w:rsidRPr="009D7A51" w:rsidRDefault="00A956C5" w:rsidP="00663360">
            <w:pPr>
              <w:pStyle w:val="cTableText"/>
              <w:ind w:left="475" w:hanging="475"/>
            </w:pPr>
            <w:r w:rsidRPr="009D7A51">
              <w:t>304 Latest Visit or Consultation</w:t>
            </w:r>
          </w:p>
          <w:p w14:paraId="76BF97A0" w14:textId="77777777" w:rsidR="00A956C5" w:rsidRPr="009D7A51" w:rsidRDefault="00A956C5" w:rsidP="00663360">
            <w:pPr>
              <w:pStyle w:val="cTableText"/>
              <w:ind w:left="475" w:hanging="475"/>
            </w:pPr>
            <w:r w:rsidRPr="009D7A51">
              <w:t>453 Acute Manifestation of a Chronic Condition</w:t>
            </w:r>
          </w:p>
          <w:p w14:paraId="2F28BB07" w14:textId="77777777" w:rsidR="00A956C5" w:rsidRPr="009D7A51" w:rsidRDefault="00A956C5" w:rsidP="00663360">
            <w:pPr>
              <w:pStyle w:val="cTableText"/>
              <w:ind w:left="475" w:hanging="475"/>
            </w:pPr>
            <w:r w:rsidRPr="009D7A51">
              <w:t>439 Accident</w:t>
            </w:r>
          </w:p>
          <w:p w14:paraId="489BD695" w14:textId="77777777" w:rsidR="00A956C5" w:rsidRPr="009D7A51" w:rsidRDefault="00A956C5" w:rsidP="00663360">
            <w:pPr>
              <w:pStyle w:val="cTableText"/>
              <w:ind w:left="475" w:hanging="475"/>
            </w:pPr>
            <w:r w:rsidRPr="009D7A51">
              <w:t xml:space="preserve">455 Last X-Ray </w:t>
            </w:r>
          </w:p>
          <w:p w14:paraId="1D83E035" w14:textId="77777777" w:rsidR="00A956C5" w:rsidRPr="009D7A51" w:rsidRDefault="00A956C5" w:rsidP="00663360">
            <w:pPr>
              <w:pStyle w:val="cTableText"/>
              <w:ind w:left="475" w:hanging="475"/>
            </w:pPr>
            <w:r w:rsidRPr="009D7A51">
              <w:t>471 Prescription</w:t>
            </w:r>
          </w:p>
          <w:p w14:paraId="673D0F11" w14:textId="77777777" w:rsidR="00A956C5" w:rsidRPr="009D7A51" w:rsidRDefault="00A956C5" w:rsidP="00663360">
            <w:pPr>
              <w:pStyle w:val="cTableText"/>
              <w:ind w:left="475" w:hanging="475"/>
            </w:pPr>
            <w:r w:rsidRPr="009D7A51">
              <w:t>090 Report Start (Assumed Care Date)</w:t>
            </w:r>
          </w:p>
          <w:p w14:paraId="2C77F9C3" w14:textId="77777777" w:rsidR="00A956C5" w:rsidRPr="009D7A51" w:rsidRDefault="00A956C5" w:rsidP="00663360">
            <w:pPr>
              <w:pStyle w:val="cTableText"/>
              <w:ind w:left="475" w:hanging="475"/>
            </w:pPr>
            <w:r w:rsidRPr="009D7A51">
              <w:t>091 Report End (Relinquished Care Date)</w:t>
            </w:r>
          </w:p>
          <w:p w14:paraId="11B5679D" w14:textId="77777777" w:rsidR="00A956C5" w:rsidRPr="009D7A51" w:rsidRDefault="00A956C5" w:rsidP="00663360">
            <w:pPr>
              <w:pStyle w:val="cTableText"/>
            </w:pPr>
            <w:r w:rsidRPr="009D7A51">
              <w:t>444 First Visit or Consultation</w:t>
            </w:r>
          </w:p>
        </w:tc>
      </w:tr>
      <w:tr w:rsidR="00A956C5" w:rsidRPr="009D7A51" w14:paraId="26F9E3B2"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05A0814B" w14:textId="77777777" w:rsidR="00A956C5" w:rsidRPr="009D7A51" w:rsidRDefault="00A956C5" w:rsidP="00663360">
            <w:pPr>
              <w:pStyle w:val="cTableText"/>
              <w:ind w:left="475" w:hanging="475"/>
            </w:pPr>
            <w:r w:rsidRPr="009D7A51">
              <w:t>16.</w:t>
            </w:r>
            <w:r w:rsidRPr="009D7A51">
              <w:tab/>
              <w:t xml:space="preserve">DATES PATIENT UNABLE TO WORK IN CURRENT OCCUPATION </w:t>
            </w:r>
          </w:p>
        </w:tc>
        <w:tc>
          <w:tcPr>
            <w:tcW w:w="5232" w:type="dxa"/>
            <w:tcBorders>
              <w:top w:val="single" w:sz="6" w:space="0" w:color="000000"/>
              <w:left w:val="nil"/>
              <w:bottom w:val="single" w:sz="6" w:space="0" w:color="000000"/>
              <w:right w:val="nil"/>
            </w:tcBorders>
          </w:tcPr>
          <w:p w14:paraId="798CBB49" w14:textId="77777777" w:rsidR="00A956C5" w:rsidRPr="009D7A51" w:rsidRDefault="00A956C5" w:rsidP="00663360">
            <w:pPr>
              <w:pStyle w:val="cTableText"/>
            </w:pPr>
            <w:r w:rsidRPr="009D7A51">
              <w:t>Not required.</w:t>
            </w:r>
          </w:p>
        </w:tc>
      </w:tr>
      <w:tr w:rsidR="00A956C5" w:rsidRPr="009D7A51" w14:paraId="101EBCF7"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5BA0E706" w14:textId="77777777" w:rsidR="00A956C5" w:rsidRPr="009D7A51" w:rsidRDefault="00A956C5" w:rsidP="00663360">
            <w:pPr>
              <w:pStyle w:val="cTableText"/>
              <w:ind w:left="475" w:hanging="475"/>
            </w:pPr>
            <w:r w:rsidRPr="009D7A51">
              <w:t>17.</w:t>
            </w:r>
            <w:r w:rsidRPr="009D7A51">
              <w:tab/>
              <w:t>NAME OF REFERRING PROVIDER OR OTHER SOURCE</w:t>
            </w:r>
          </w:p>
        </w:tc>
        <w:tc>
          <w:tcPr>
            <w:tcW w:w="5232" w:type="dxa"/>
            <w:tcBorders>
              <w:top w:val="single" w:sz="6" w:space="0" w:color="000000"/>
              <w:left w:val="nil"/>
              <w:bottom w:val="nil"/>
              <w:right w:val="nil"/>
            </w:tcBorders>
          </w:tcPr>
          <w:p w14:paraId="46CBB655" w14:textId="77777777" w:rsidR="00A956C5" w:rsidRPr="009D7A51" w:rsidRDefault="00A956C5" w:rsidP="00663360">
            <w:pPr>
              <w:pStyle w:val="cTableText"/>
            </w:pPr>
            <w:r w:rsidRPr="009D7A51">
              <w:t>Primary Care Physician (PCP) referral is not required for visual care services.  If services are the result of a Child Health Services (EPSDT) screening/ referral, enter the referral source, including name and title.</w:t>
            </w:r>
          </w:p>
        </w:tc>
      </w:tr>
      <w:tr w:rsidR="00A956C5" w:rsidRPr="009D7A51" w14:paraId="2268F980"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0643FA4B" w14:textId="77777777" w:rsidR="00A956C5" w:rsidRPr="009D7A51" w:rsidRDefault="00A956C5" w:rsidP="00A956C5">
            <w:pPr>
              <w:pStyle w:val="cTableText"/>
              <w:ind w:left="475" w:hanging="475"/>
            </w:pPr>
            <w:r w:rsidRPr="009D7A51">
              <w:t>17a.</w:t>
            </w:r>
            <w:r w:rsidRPr="009D7A51">
              <w:tab/>
              <w:t>(blank)</w:t>
            </w:r>
          </w:p>
        </w:tc>
        <w:tc>
          <w:tcPr>
            <w:tcW w:w="5232" w:type="dxa"/>
            <w:tcBorders>
              <w:top w:val="nil"/>
              <w:left w:val="nil"/>
              <w:bottom w:val="nil"/>
              <w:right w:val="nil"/>
            </w:tcBorders>
          </w:tcPr>
          <w:p w14:paraId="78E5C950" w14:textId="77777777" w:rsidR="00A956C5" w:rsidRPr="009D7A51" w:rsidRDefault="00A956C5" w:rsidP="00A956C5">
            <w:pPr>
              <w:pStyle w:val="cTableText"/>
              <w:rPr>
                <w:rFonts w:cs="Arial"/>
                <w:szCs w:val="21"/>
              </w:rPr>
            </w:pPr>
            <w:r w:rsidRPr="009D7A51">
              <w:rPr>
                <w:rFonts w:cs="Arial"/>
                <w:szCs w:val="21"/>
              </w:rPr>
              <w:t xml:space="preserve">Not required. </w:t>
            </w:r>
          </w:p>
        </w:tc>
      </w:tr>
      <w:tr w:rsidR="00A956C5" w:rsidRPr="009D7A51" w14:paraId="74B792FC" w14:textId="77777777" w:rsidTr="00663360">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30386BA8" w14:textId="77777777" w:rsidR="00A956C5" w:rsidRPr="009D7A51" w:rsidRDefault="00A956C5" w:rsidP="00A956C5">
            <w:pPr>
              <w:pStyle w:val="cTableText"/>
              <w:ind w:left="475" w:hanging="475"/>
            </w:pPr>
            <w:r w:rsidRPr="009D7A51">
              <w:t>17b.</w:t>
            </w:r>
            <w:r w:rsidRPr="009D7A51">
              <w:tab/>
              <w:t>NPI</w:t>
            </w:r>
          </w:p>
        </w:tc>
        <w:tc>
          <w:tcPr>
            <w:tcW w:w="5232" w:type="dxa"/>
            <w:tcBorders>
              <w:top w:val="nil"/>
              <w:left w:val="nil"/>
              <w:bottom w:val="single" w:sz="4" w:space="0" w:color="auto"/>
              <w:right w:val="nil"/>
            </w:tcBorders>
          </w:tcPr>
          <w:p w14:paraId="7F86E2CB" w14:textId="77777777" w:rsidR="00A956C5" w:rsidRPr="009D7A51" w:rsidRDefault="00A956C5" w:rsidP="00A956C5">
            <w:pPr>
              <w:pStyle w:val="cTableText"/>
              <w:rPr>
                <w:rFonts w:cs="Arial"/>
                <w:szCs w:val="21"/>
              </w:rPr>
            </w:pPr>
            <w:r w:rsidRPr="009D7A51">
              <w:rPr>
                <w:rFonts w:cs="Arial"/>
                <w:szCs w:val="21"/>
              </w:rPr>
              <w:t>Enter NPI of the referring physician.</w:t>
            </w:r>
          </w:p>
        </w:tc>
      </w:tr>
      <w:tr w:rsidR="00A956C5" w:rsidRPr="009D7A51" w14:paraId="75D97E63" w14:textId="77777777" w:rsidTr="00663360">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418EB686" w14:textId="77777777" w:rsidR="00A956C5" w:rsidRPr="009D7A51" w:rsidRDefault="00A956C5" w:rsidP="00663360">
            <w:pPr>
              <w:pStyle w:val="cTableText"/>
              <w:ind w:left="475" w:hanging="475"/>
            </w:pPr>
            <w:r w:rsidRPr="009D7A51">
              <w:t>18.</w:t>
            </w:r>
            <w:r w:rsidRPr="009D7A51">
              <w:tab/>
              <w:t>HOSPITALIZATION DATES RELATED TO CURRENT SERVICES</w:t>
            </w:r>
          </w:p>
        </w:tc>
        <w:tc>
          <w:tcPr>
            <w:tcW w:w="5232" w:type="dxa"/>
            <w:tcBorders>
              <w:top w:val="single" w:sz="4" w:space="0" w:color="auto"/>
              <w:left w:val="nil"/>
              <w:bottom w:val="single" w:sz="6" w:space="0" w:color="000000"/>
              <w:right w:val="nil"/>
            </w:tcBorders>
          </w:tcPr>
          <w:p w14:paraId="1AFCF897" w14:textId="77777777" w:rsidR="00A956C5" w:rsidRPr="009D7A51" w:rsidRDefault="00A956C5" w:rsidP="00663360">
            <w:pPr>
              <w:pStyle w:val="cTableText"/>
            </w:pPr>
            <w:r w:rsidRPr="009D7A51">
              <w:t>When the serving/billing provider’s services charged on this claim are related to a beneficiary’s or participant’s inpatient hospitalization, enter the individual’s admission and discharge dates. Format: MM/DD/YY.</w:t>
            </w:r>
          </w:p>
        </w:tc>
      </w:tr>
      <w:tr w:rsidR="00A956C5" w:rsidRPr="009D7A51" w14:paraId="60F821FF" w14:textId="77777777" w:rsidTr="00663360">
        <w:tblPrEx>
          <w:tblCellMar>
            <w:top w:w="0" w:type="dxa"/>
            <w:bottom w:w="0" w:type="dxa"/>
          </w:tblCellMar>
        </w:tblPrEx>
        <w:trPr>
          <w:cantSplit/>
        </w:trPr>
        <w:tc>
          <w:tcPr>
            <w:tcW w:w="3622" w:type="dxa"/>
            <w:tcBorders>
              <w:top w:val="single" w:sz="6" w:space="0" w:color="000000"/>
              <w:left w:val="nil"/>
              <w:bottom w:val="nil"/>
              <w:right w:val="nil"/>
            </w:tcBorders>
          </w:tcPr>
          <w:p w14:paraId="33D28B62" w14:textId="77777777" w:rsidR="00A956C5" w:rsidRPr="009D7A51" w:rsidRDefault="00A956C5" w:rsidP="00663360">
            <w:pPr>
              <w:pStyle w:val="cTableText"/>
              <w:ind w:left="515" w:hanging="515"/>
            </w:pPr>
            <w:r w:rsidRPr="009D7A51">
              <w:t>19.</w:t>
            </w:r>
            <w:r w:rsidRPr="009D7A51">
              <w:tab/>
              <w:t>ADDITIONAL CLAIM INFORMATION</w:t>
            </w:r>
          </w:p>
        </w:tc>
        <w:tc>
          <w:tcPr>
            <w:tcW w:w="5277" w:type="dxa"/>
            <w:gridSpan w:val="2"/>
            <w:tcBorders>
              <w:top w:val="single" w:sz="6" w:space="0" w:color="000000"/>
              <w:left w:val="nil"/>
              <w:bottom w:val="nil"/>
              <w:right w:val="nil"/>
            </w:tcBorders>
          </w:tcPr>
          <w:p w14:paraId="2F3A0C57" w14:textId="77777777" w:rsidR="00A956C5" w:rsidRPr="009D7A51" w:rsidRDefault="00A956C5" w:rsidP="00663360">
            <w:pPr>
              <w:pStyle w:val="cTableText"/>
            </w:pPr>
            <w:r w:rsidRPr="009D7A51">
              <w:t xml:space="preserve">Identifies additional information about the beneficiary’s condition or the claim. Enter the appropriate qualifiers describing the identifier. See </w:t>
            </w:r>
            <w:hyperlink r:id="rId49" w:history="1">
              <w:r w:rsidRPr="009D7A51">
                <w:rPr>
                  <w:rStyle w:val="Hyperlink"/>
                </w:rPr>
                <w:t>www.nucc.org</w:t>
              </w:r>
            </w:hyperlink>
            <w:r w:rsidRPr="009D7A51">
              <w:t xml:space="preserve"> for qualifiers</w:t>
            </w:r>
          </w:p>
        </w:tc>
      </w:tr>
      <w:tr w:rsidR="00A956C5" w:rsidRPr="009D7A51" w14:paraId="3F666924"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2A3D1CEA" w14:textId="77777777" w:rsidR="00A956C5" w:rsidRPr="009D7A51" w:rsidRDefault="00A956C5" w:rsidP="00663360">
            <w:pPr>
              <w:pStyle w:val="cTableText"/>
              <w:ind w:left="475" w:hanging="475"/>
            </w:pPr>
            <w:r w:rsidRPr="009D7A51">
              <w:t>20.</w:t>
            </w:r>
            <w:r w:rsidRPr="009D7A51">
              <w:tab/>
              <w:t>OUTSIDE LAB?</w:t>
            </w:r>
          </w:p>
        </w:tc>
        <w:tc>
          <w:tcPr>
            <w:tcW w:w="5232" w:type="dxa"/>
            <w:tcBorders>
              <w:top w:val="single" w:sz="6" w:space="0" w:color="000000"/>
              <w:left w:val="nil"/>
              <w:bottom w:val="nil"/>
              <w:right w:val="nil"/>
            </w:tcBorders>
          </w:tcPr>
          <w:p w14:paraId="058AF85B" w14:textId="77777777" w:rsidR="00A956C5" w:rsidRPr="009D7A51" w:rsidRDefault="00A956C5" w:rsidP="00663360">
            <w:pPr>
              <w:pStyle w:val="cTableText"/>
            </w:pPr>
            <w:r w:rsidRPr="009D7A51">
              <w:t>Not required.</w:t>
            </w:r>
          </w:p>
        </w:tc>
      </w:tr>
      <w:tr w:rsidR="00A956C5" w:rsidRPr="009D7A51" w14:paraId="32FCDDAE" w14:textId="77777777" w:rsidTr="00663360">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56DC58C0" w14:textId="77777777" w:rsidR="00A956C5" w:rsidRPr="009D7A51" w:rsidRDefault="00A956C5" w:rsidP="00663360">
            <w:pPr>
              <w:pStyle w:val="cnumbered"/>
              <w:ind w:left="475" w:hanging="475"/>
            </w:pPr>
            <w:r w:rsidRPr="009D7A51">
              <w:tab/>
              <w:t>$ CHARGES</w:t>
            </w:r>
          </w:p>
        </w:tc>
        <w:tc>
          <w:tcPr>
            <w:tcW w:w="5232" w:type="dxa"/>
            <w:tcBorders>
              <w:top w:val="nil"/>
              <w:left w:val="nil"/>
              <w:bottom w:val="single" w:sz="4" w:space="0" w:color="auto"/>
              <w:right w:val="nil"/>
            </w:tcBorders>
          </w:tcPr>
          <w:p w14:paraId="5E45B350" w14:textId="77777777" w:rsidR="00A956C5" w:rsidRPr="009D7A51" w:rsidRDefault="00A956C5" w:rsidP="00663360">
            <w:pPr>
              <w:pStyle w:val="cTableText"/>
            </w:pPr>
            <w:r w:rsidRPr="009D7A51">
              <w:t>Not required.</w:t>
            </w:r>
          </w:p>
        </w:tc>
      </w:tr>
      <w:tr w:rsidR="00A956C5" w:rsidRPr="009D7A51" w14:paraId="2279A396" w14:textId="77777777" w:rsidTr="00663360">
        <w:tblPrEx>
          <w:tblCellMar>
            <w:top w:w="0" w:type="dxa"/>
            <w:bottom w:w="0" w:type="dxa"/>
          </w:tblCellMar>
        </w:tblPrEx>
        <w:trPr>
          <w:gridAfter w:val="1"/>
          <w:wAfter w:w="45" w:type="dxa"/>
          <w:cantSplit/>
        </w:trPr>
        <w:tc>
          <w:tcPr>
            <w:tcW w:w="3622" w:type="dxa"/>
            <w:tcBorders>
              <w:top w:val="single" w:sz="4" w:space="0" w:color="auto"/>
              <w:left w:val="nil"/>
              <w:bottom w:val="single" w:sz="6" w:space="0" w:color="000000"/>
              <w:right w:val="nil"/>
            </w:tcBorders>
          </w:tcPr>
          <w:p w14:paraId="29D118FB" w14:textId="77777777" w:rsidR="00A956C5" w:rsidRPr="009D7A51" w:rsidRDefault="00A956C5" w:rsidP="00663360">
            <w:pPr>
              <w:pStyle w:val="cnumbered"/>
              <w:ind w:left="475" w:hanging="475"/>
            </w:pPr>
            <w:r w:rsidRPr="009D7A51">
              <w:lastRenderedPageBreak/>
              <w:t>21.</w:t>
            </w:r>
            <w:r w:rsidRPr="009D7A51">
              <w:tab/>
              <w:t>DIAGNOSIS OR NATURE OF ILLNESS OR INJURY</w:t>
            </w:r>
          </w:p>
        </w:tc>
        <w:tc>
          <w:tcPr>
            <w:tcW w:w="5232" w:type="dxa"/>
            <w:tcBorders>
              <w:top w:val="single" w:sz="4" w:space="0" w:color="auto"/>
              <w:left w:val="nil"/>
              <w:bottom w:val="single" w:sz="6" w:space="0" w:color="000000"/>
              <w:right w:val="nil"/>
            </w:tcBorders>
          </w:tcPr>
          <w:p w14:paraId="55B81492" w14:textId="77777777" w:rsidR="00A956C5" w:rsidRPr="009D7A51" w:rsidRDefault="00A956C5" w:rsidP="00663360">
            <w:pPr>
              <w:pStyle w:val="cTableText"/>
            </w:pPr>
            <w:r w:rsidRPr="009D7A51">
              <w:t xml:space="preserve">Enter the applicable ICD indicator to identify which version of ICD codes is being reported. </w:t>
            </w:r>
          </w:p>
          <w:p w14:paraId="11FA1882" w14:textId="77777777" w:rsidR="00A956C5" w:rsidRPr="009D7A51" w:rsidRDefault="00A956C5" w:rsidP="00663360">
            <w:pPr>
              <w:pStyle w:val="cTableText"/>
            </w:pPr>
            <w:r w:rsidRPr="009D7A51">
              <w:t>Use “9” for ICD-9-CM.</w:t>
            </w:r>
          </w:p>
          <w:p w14:paraId="428AE32E" w14:textId="77777777" w:rsidR="00A956C5" w:rsidRPr="009D7A51" w:rsidRDefault="00A956C5" w:rsidP="00663360">
            <w:pPr>
              <w:pStyle w:val="cTableText"/>
            </w:pPr>
            <w:r w:rsidRPr="009D7A51">
              <w:t>Use “0” for ICD-10-CM.</w:t>
            </w:r>
          </w:p>
          <w:p w14:paraId="653A3F24" w14:textId="77777777" w:rsidR="00A956C5" w:rsidRPr="009D7A51" w:rsidRDefault="00A956C5" w:rsidP="00663360">
            <w:pPr>
              <w:pStyle w:val="cTableText"/>
            </w:pPr>
            <w:r w:rsidRPr="009D7A51">
              <w:t xml:space="preserve">Enter the indicator between the vertical, dotted lines in the upper right-hand portion of the field. </w:t>
            </w:r>
          </w:p>
          <w:p w14:paraId="06952358" w14:textId="77777777" w:rsidR="00A956C5" w:rsidRPr="009D7A51" w:rsidRDefault="00A956C5" w:rsidP="00663360">
            <w:pPr>
              <w:pStyle w:val="cTableText"/>
            </w:pPr>
            <w:r w:rsidRPr="009D7A51">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A956C5" w:rsidRPr="009D7A51" w14:paraId="398A8891"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2F85894F" w14:textId="77777777" w:rsidR="00A956C5" w:rsidRPr="009D7A51" w:rsidRDefault="00A956C5" w:rsidP="00663360">
            <w:pPr>
              <w:pStyle w:val="cTableText"/>
              <w:ind w:left="475" w:hanging="475"/>
            </w:pPr>
            <w:r w:rsidRPr="009D7A51">
              <w:t>22.</w:t>
            </w:r>
            <w:r w:rsidRPr="009D7A51">
              <w:tab/>
              <w:t>RESUBMISSION CODE</w:t>
            </w:r>
          </w:p>
        </w:tc>
        <w:tc>
          <w:tcPr>
            <w:tcW w:w="5232" w:type="dxa"/>
            <w:tcBorders>
              <w:top w:val="single" w:sz="6" w:space="0" w:color="000000"/>
              <w:left w:val="nil"/>
              <w:bottom w:val="nil"/>
              <w:right w:val="nil"/>
            </w:tcBorders>
          </w:tcPr>
          <w:p w14:paraId="30F1710B" w14:textId="77777777" w:rsidR="00A956C5" w:rsidRPr="009D7A51" w:rsidRDefault="00A956C5" w:rsidP="00663360">
            <w:pPr>
              <w:pStyle w:val="cTableText"/>
            </w:pPr>
            <w:r w:rsidRPr="009D7A51">
              <w:t>Reserved for future use.</w:t>
            </w:r>
          </w:p>
        </w:tc>
      </w:tr>
      <w:tr w:rsidR="00A956C5" w:rsidRPr="009D7A51" w14:paraId="144D503A" w14:textId="77777777" w:rsidTr="00663360">
        <w:tblPrEx>
          <w:tblCellMar>
            <w:top w:w="0" w:type="dxa"/>
            <w:bottom w:w="0" w:type="dxa"/>
          </w:tblCellMar>
        </w:tblPrEx>
        <w:trPr>
          <w:gridAfter w:val="1"/>
          <w:wAfter w:w="45" w:type="dxa"/>
          <w:cantSplit/>
        </w:trPr>
        <w:tc>
          <w:tcPr>
            <w:tcW w:w="3622" w:type="dxa"/>
            <w:tcBorders>
              <w:top w:val="nil"/>
              <w:left w:val="nil"/>
              <w:bottom w:val="single" w:sz="6" w:space="0" w:color="000000"/>
              <w:right w:val="nil"/>
            </w:tcBorders>
          </w:tcPr>
          <w:p w14:paraId="12A5E6CA" w14:textId="77777777" w:rsidR="00A956C5" w:rsidRPr="009D7A51" w:rsidRDefault="00A956C5" w:rsidP="00663360">
            <w:pPr>
              <w:pStyle w:val="cTableText"/>
              <w:ind w:left="475" w:hanging="475"/>
            </w:pPr>
            <w:r w:rsidRPr="009D7A51">
              <w:tab/>
              <w:t>ORIGINAL REF. NO.</w:t>
            </w:r>
          </w:p>
        </w:tc>
        <w:tc>
          <w:tcPr>
            <w:tcW w:w="5232" w:type="dxa"/>
            <w:tcBorders>
              <w:top w:val="nil"/>
              <w:left w:val="nil"/>
              <w:bottom w:val="single" w:sz="6" w:space="0" w:color="000000"/>
              <w:right w:val="nil"/>
            </w:tcBorders>
          </w:tcPr>
          <w:p w14:paraId="01938B22" w14:textId="77777777" w:rsidR="00A956C5" w:rsidRPr="009D7A51" w:rsidRDefault="00A956C5" w:rsidP="00663360">
            <w:pPr>
              <w:pStyle w:val="cTableText"/>
            </w:pPr>
            <w:r w:rsidRPr="009D7A51">
              <w:t xml:space="preserve">Any data or other information listed in this field does not/will not adjust, </w:t>
            </w:r>
            <w:proofErr w:type="gramStart"/>
            <w:r w:rsidRPr="009D7A51">
              <w:t>void</w:t>
            </w:r>
            <w:proofErr w:type="gramEnd"/>
            <w:r w:rsidRPr="009D7A51">
              <w:t xml:space="preserve"> or otherwise modify any previous payment or denial of a claim. Claim payment adjustments, voids, and refunds must follow previously established processes in policy.</w:t>
            </w:r>
          </w:p>
        </w:tc>
      </w:tr>
      <w:tr w:rsidR="00A956C5" w:rsidRPr="009D7A51" w14:paraId="2A111C9A"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750B6F60" w14:textId="77777777" w:rsidR="00A956C5" w:rsidRPr="009D7A51" w:rsidRDefault="00A956C5" w:rsidP="00663360">
            <w:pPr>
              <w:pStyle w:val="cTableText"/>
              <w:ind w:left="475" w:hanging="475"/>
            </w:pPr>
            <w:r w:rsidRPr="009D7A51">
              <w:t>23.</w:t>
            </w:r>
            <w:r w:rsidRPr="009D7A51">
              <w:tab/>
              <w:t>PRIOR AUTHORIZATION NUMBER</w:t>
            </w:r>
          </w:p>
        </w:tc>
        <w:tc>
          <w:tcPr>
            <w:tcW w:w="5232" w:type="dxa"/>
            <w:tcBorders>
              <w:top w:val="single" w:sz="6" w:space="0" w:color="000000"/>
              <w:left w:val="nil"/>
              <w:bottom w:val="single" w:sz="6" w:space="0" w:color="000000"/>
              <w:right w:val="nil"/>
            </w:tcBorders>
          </w:tcPr>
          <w:p w14:paraId="52BCA4F5" w14:textId="77777777" w:rsidR="00A956C5" w:rsidRPr="009D7A51" w:rsidRDefault="00A956C5" w:rsidP="00663360">
            <w:pPr>
              <w:pStyle w:val="cTableText"/>
            </w:pPr>
            <w:r w:rsidRPr="009D7A51">
              <w:t>The prior authorization or benefit extension control number if applicable.</w:t>
            </w:r>
          </w:p>
        </w:tc>
      </w:tr>
      <w:tr w:rsidR="00A956C5" w:rsidRPr="009D7A51" w14:paraId="1B6F5B28"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D83125D" w14:textId="77777777" w:rsidR="00A956C5" w:rsidRPr="009D7A51" w:rsidRDefault="00A956C5" w:rsidP="00663360">
            <w:pPr>
              <w:pStyle w:val="cTableText"/>
              <w:ind w:left="965" w:hanging="990"/>
            </w:pPr>
            <w:r w:rsidRPr="009D7A51">
              <w:t>24A.</w:t>
            </w:r>
            <w:r w:rsidRPr="009D7A51">
              <w:tab/>
              <w:t>DATE(S) OF SERVICE</w:t>
            </w:r>
          </w:p>
        </w:tc>
        <w:tc>
          <w:tcPr>
            <w:tcW w:w="5232" w:type="dxa"/>
            <w:tcBorders>
              <w:top w:val="single" w:sz="6" w:space="0" w:color="000000"/>
              <w:left w:val="nil"/>
              <w:bottom w:val="nil"/>
              <w:right w:val="nil"/>
            </w:tcBorders>
          </w:tcPr>
          <w:p w14:paraId="5864727E" w14:textId="77777777" w:rsidR="00A956C5" w:rsidRPr="009D7A51" w:rsidRDefault="00A956C5" w:rsidP="00663360">
            <w:pPr>
              <w:pStyle w:val="cTableText"/>
            </w:pPr>
            <w:r w:rsidRPr="009D7A51">
              <w:t>The “from” and “to” dates of service for each billed service. Format: MM/DD/YY.</w:t>
            </w:r>
          </w:p>
          <w:p w14:paraId="20893D97" w14:textId="77777777" w:rsidR="00A956C5" w:rsidRPr="009D7A51" w:rsidRDefault="00A956C5" w:rsidP="00663360">
            <w:pPr>
              <w:pStyle w:val="cTableText"/>
              <w:ind w:left="342" w:hanging="342"/>
            </w:pPr>
            <w:r w:rsidRPr="009D7A51">
              <w:t>1.</w:t>
            </w:r>
            <w:r w:rsidRPr="009D7A51">
              <w:tab/>
              <w:t>On a single claim detail (one charge on one line), bill only for services provided within a single calendar month.</w:t>
            </w:r>
          </w:p>
          <w:p w14:paraId="4C0CA053" w14:textId="77777777" w:rsidR="00A956C5" w:rsidRPr="009D7A51" w:rsidRDefault="00A956C5" w:rsidP="00663360">
            <w:pPr>
              <w:pStyle w:val="cTableText"/>
              <w:ind w:left="342" w:hanging="342"/>
            </w:pPr>
            <w:r w:rsidRPr="009D7A51">
              <w:t>2.</w:t>
            </w:r>
            <w:r w:rsidRPr="009D7A51">
              <w:tab/>
              <w:t xml:space="preserve">Providers may bill on the same claim detail for two or more sequential dates of service within the same calendar month when the provider furnished equal amounts of the service on each day of the date sequence. </w:t>
            </w:r>
          </w:p>
        </w:tc>
      </w:tr>
      <w:tr w:rsidR="00A956C5" w:rsidRPr="009D7A51" w14:paraId="217CB56A"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1A08E08E" w14:textId="77777777" w:rsidR="00A956C5" w:rsidRPr="009D7A51" w:rsidRDefault="00A956C5" w:rsidP="00663360">
            <w:pPr>
              <w:pStyle w:val="cTableText"/>
              <w:ind w:left="965" w:hanging="475"/>
            </w:pPr>
            <w:smartTag w:uri="urn:schemas-microsoft-com:office:smarttags" w:element="address">
              <w:smartTag w:uri="urn:schemas-microsoft-com:office:smarttags" w:element="Street">
                <w:r w:rsidRPr="009D7A51">
                  <w:t>B.</w:t>
                </w:r>
                <w:r w:rsidRPr="009D7A51">
                  <w:tab/>
                  <w:t>PLACE</w:t>
                </w:r>
              </w:smartTag>
            </w:smartTag>
            <w:r w:rsidRPr="009D7A51">
              <w:t xml:space="preserve"> OF SERVICE</w:t>
            </w:r>
          </w:p>
        </w:tc>
        <w:tc>
          <w:tcPr>
            <w:tcW w:w="5232" w:type="dxa"/>
            <w:tcBorders>
              <w:top w:val="nil"/>
              <w:left w:val="nil"/>
              <w:bottom w:val="nil"/>
              <w:right w:val="nil"/>
            </w:tcBorders>
          </w:tcPr>
          <w:p w14:paraId="619B64F3" w14:textId="77777777" w:rsidR="00A956C5" w:rsidRPr="009D7A51" w:rsidRDefault="00A956C5" w:rsidP="00663360">
            <w:pPr>
              <w:pStyle w:val="cTableText"/>
            </w:pPr>
            <w:r w:rsidRPr="009D7A51">
              <w:t xml:space="preserve">Two-digit national standard place of service code. See </w:t>
            </w:r>
            <w:r w:rsidRPr="009D7A51">
              <w:rPr>
                <w:bCs/>
              </w:rPr>
              <w:t>Section</w:t>
            </w:r>
            <w:r w:rsidRPr="009D7A51">
              <w:t xml:space="preserve"> 243.200 for codes.</w:t>
            </w:r>
          </w:p>
        </w:tc>
      </w:tr>
      <w:tr w:rsidR="00A956C5" w:rsidRPr="009D7A51" w14:paraId="26BC2378"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48487601" w14:textId="77777777" w:rsidR="00A956C5" w:rsidRPr="009D7A51" w:rsidRDefault="00A956C5" w:rsidP="00663360">
            <w:pPr>
              <w:pStyle w:val="cTableText"/>
              <w:ind w:left="965" w:hanging="475"/>
            </w:pPr>
            <w:r w:rsidRPr="009D7A51">
              <w:t>C.</w:t>
            </w:r>
            <w:r w:rsidRPr="009D7A51">
              <w:tab/>
              <w:t xml:space="preserve">EMG </w:t>
            </w:r>
          </w:p>
        </w:tc>
        <w:tc>
          <w:tcPr>
            <w:tcW w:w="5232" w:type="dxa"/>
            <w:tcBorders>
              <w:top w:val="nil"/>
              <w:left w:val="nil"/>
              <w:bottom w:val="nil"/>
              <w:right w:val="nil"/>
            </w:tcBorders>
          </w:tcPr>
          <w:p w14:paraId="1EE3DDAE" w14:textId="77777777" w:rsidR="00A956C5" w:rsidRPr="009D7A51" w:rsidRDefault="00A956C5" w:rsidP="00663360">
            <w:pPr>
              <w:pStyle w:val="cTableText"/>
            </w:pPr>
            <w:r w:rsidRPr="009D7A51">
              <w:t>Enter “Y” for “Yes” or leave blank if “No.” EMG identifies if the service was an emergency.</w:t>
            </w:r>
          </w:p>
        </w:tc>
      </w:tr>
      <w:tr w:rsidR="00A956C5" w:rsidRPr="009D7A51" w14:paraId="18DDBF92"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1AA98278" w14:textId="77777777" w:rsidR="00A956C5" w:rsidRPr="009D7A51" w:rsidRDefault="00A956C5" w:rsidP="00663360">
            <w:pPr>
              <w:pStyle w:val="cTableText"/>
              <w:ind w:left="965" w:hanging="475"/>
            </w:pPr>
            <w:r w:rsidRPr="009D7A51">
              <w:t>D.</w:t>
            </w:r>
            <w:r w:rsidRPr="009D7A51">
              <w:tab/>
              <w:t>PROCEDURES, SERVICES, OR SUPPLIES</w:t>
            </w:r>
          </w:p>
        </w:tc>
        <w:tc>
          <w:tcPr>
            <w:tcW w:w="5232" w:type="dxa"/>
            <w:tcBorders>
              <w:top w:val="nil"/>
              <w:left w:val="nil"/>
              <w:bottom w:val="nil"/>
              <w:right w:val="nil"/>
            </w:tcBorders>
          </w:tcPr>
          <w:p w14:paraId="73FF0132" w14:textId="77777777" w:rsidR="00A956C5" w:rsidRPr="009D7A51" w:rsidRDefault="00A956C5" w:rsidP="00663360">
            <w:pPr>
              <w:pStyle w:val="cTableText"/>
            </w:pPr>
          </w:p>
        </w:tc>
      </w:tr>
      <w:tr w:rsidR="00A956C5" w:rsidRPr="009D7A51" w14:paraId="14C5B936"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0E0B06CE" w14:textId="77777777" w:rsidR="00A956C5" w:rsidRPr="009D7A51" w:rsidRDefault="00A956C5" w:rsidP="00663360">
            <w:pPr>
              <w:pStyle w:val="cTableText"/>
              <w:ind w:left="965" w:hanging="475"/>
              <w:rPr>
                <w:noProof/>
              </w:rPr>
            </w:pPr>
            <w:r w:rsidRPr="009D7A51">
              <w:rPr>
                <w:noProof/>
              </w:rPr>
              <w:tab/>
              <w:t>CPT/HCPCS</w:t>
            </w:r>
          </w:p>
        </w:tc>
        <w:tc>
          <w:tcPr>
            <w:tcW w:w="5232" w:type="dxa"/>
            <w:tcBorders>
              <w:top w:val="nil"/>
              <w:left w:val="nil"/>
              <w:bottom w:val="nil"/>
              <w:right w:val="nil"/>
            </w:tcBorders>
          </w:tcPr>
          <w:p w14:paraId="5810BA3E" w14:textId="77777777" w:rsidR="00A956C5" w:rsidRPr="009D7A51" w:rsidRDefault="00A956C5" w:rsidP="00663360">
            <w:pPr>
              <w:pStyle w:val="cTableText"/>
            </w:pPr>
            <w:r w:rsidRPr="009D7A51">
              <w:t>Enter the correct CPT or HCPCS procedure code from Sections 243.100 through 243.150.</w:t>
            </w:r>
          </w:p>
        </w:tc>
      </w:tr>
      <w:tr w:rsidR="00A956C5" w:rsidRPr="009D7A51" w14:paraId="5C7D5B1F"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005F1A8C" w14:textId="77777777" w:rsidR="00A956C5" w:rsidRPr="009D7A51" w:rsidRDefault="00A956C5" w:rsidP="00663360">
            <w:pPr>
              <w:pStyle w:val="cTableText"/>
              <w:ind w:left="965" w:hanging="475"/>
              <w:rPr>
                <w:noProof/>
              </w:rPr>
            </w:pPr>
            <w:r w:rsidRPr="009D7A51">
              <w:rPr>
                <w:noProof/>
              </w:rPr>
              <w:tab/>
              <w:t>MODIFIER</w:t>
            </w:r>
          </w:p>
        </w:tc>
        <w:tc>
          <w:tcPr>
            <w:tcW w:w="5232" w:type="dxa"/>
            <w:tcBorders>
              <w:top w:val="nil"/>
              <w:left w:val="nil"/>
              <w:bottom w:val="nil"/>
              <w:right w:val="nil"/>
            </w:tcBorders>
          </w:tcPr>
          <w:p w14:paraId="5B8A1CBD" w14:textId="77777777" w:rsidR="00A956C5" w:rsidRPr="009D7A51" w:rsidRDefault="00A956C5" w:rsidP="00663360">
            <w:pPr>
              <w:pStyle w:val="cTableText"/>
            </w:pPr>
            <w:r w:rsidRPr="009D7A51">
              <w:t>Modifier(s) if applicable.</w:t>
            </w:r>
          </w:p>
        </w:tc>
      </w:tr>
      <w:tr w:rsidR="00A956C5" w:rsidRPr="009D7A51" w14:paraId="2B825835"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501DA208" w14:textId="77777777" w:rsidR="00A956C5" w:rsidRPr="009D7A51" w:rsidRDefault="00A956C5" w:rsidP="00663360">
            <w:pPr>
              <w:pStyle w:val="cTableText"/>
              <w:ind w:left="965" w:hanging="475"/>
            </w:pPr>
            <w:r w:rsidRPr="009D7A51">
              <w:lastRenderedPageBreak/>
              <w:t>E.</w:t>
            </w:r>
            <w:r w:rsidRPr="009D7A51">
              <w:tab/>
              <w:t>DIAGNOSIS POINTER</w:t>
            </w:r>
          </w:p>
        </w:tc>
        <w:tc>
          <w:tcPr>
            <w:tcW w:w="5232" w:type="dxa"/>
            <w:tcBorders>
              <w:top w:val="nil"/>
              <w:left w:val="nil"/>
              <w:bottom w:val="nil"/>
              <w:right w:val="nil"/>
            </w:tcBorders>
          </w:tcPr>
          <w:p w14:paraId="1BDDEAB8" w14:textId="77777777" w:rsidR="00A956C5" w:rsidRPr="009D7A51" w:rsidRDefault="00A956C5" w:rsidP="00663360">
            <w:pPr>
              <w:pStyle w:val="cTableText"/>
            </w:pPr>
            <w:r w:rsidRPr="009D7A51">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A956C5" w:rsidRPr="009D7A51" w14:paraId="27012031"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427EA80B" w14:textId="77777777" w:rsidR="00A956C5" w:rsidRPr="009D7A51" w:rsidRDefault="00A956C5" w:rsidP="00663360">
            <w:pPr>
              <w:pStyle w:val="cTableText"/>
              <w:ind w:left="965" w:hanging="475"/>
            </w:pPr>
            <w:r w:rsidRPr="009D7A51">
              <w:t>F.</w:t>
            </w:r>
            <w:r w:rsidRPr="009D7A51">
              <w:tab/>
              <w:t>$ CHARGES</w:t>
            </w:r>
          </w:p>
        </w:tc>
        <w:tc>
          <w:tcPr>
            <w:tcW w:w="5232" w:type="dxa"/>
            <w:tcBorders>
              <w:top w:val="nil"/>
              <w:left w:val="nil"/>
              <w:bottom w:val="nil"/>
              <w:right w:val="nil"/>
            </w:tcBorders>
          </w:tcPr>
          <w:p w14:paraId="10019015" w14:textId="77777777" w:rsidR="00A956C5" w:rsidRPr="009D7A51" w:rsidRDefault="00A956C5" w:rsidP="00663360">
            <w:pPr>
              <w:pStyle w:val="cTableText"/>
            </w:pPr>
            <w:r w:rsidRPr="009D7A51">
              <w:t>The full charge for the service(s) totaled in the detail. This charge must be the usual charge to any client, patient, or other beneficiary of the provider’s services.</w:t>
            </w:r>
          </w:p>
        </w:tc>
      </w:tr>
      <w:tr w:rsidR="00A956C5" w:rsidRPr="009D7A51" w14:paraId="1E17D927"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13CB1DE" w14:textId="77777777" w:rsidR="00A956C5" w:rsidRPr="009D7A51" w:rsidRDefault="00A956C5" w:rsidP="00663360">
            <w:pPr>
              <w:pStyle w:val="cTableText"/>
              <w:ind w:left="965" w:hanging="475"/>
            </w:pPr>
            <w:r w:rsidRPr="009D7A51">
              <w:t>G.</w:t>
            </w:r>
            <w:r w:rsidRPr="009D7A51">
              <w:tab/>
              <w:t>DAYS OR UNITS</w:t>
            </w:r>
          </w:p>
        </w:tc>
        <w:tc>
          <w:tcPr>
            <w:tcW w:w="5232" w:type="dxa"/>
            <w:tcBorders>
              <w:top w:val="nil"/>
              <w:left w:val="nil"/>
              <w:bottom w:val="nil"/>
              <w:right w:val="nil"/>
            </w:tcBorders>
          </w:tcPr>
          <w:p w14:paraId="40808916" w14:textId="77777777" w:rsidR="00A956C5" w:rsidRPr="009D7A51" w:rsidRDefault="00A956C5" w:rsidP="00663360">
            <w:pPr>
              <w:pStyle w:val="cTableText"/>
            </w:pPr>
            <w:r w:rsidRPr="009D7A51">
              <w:t xml:space="preserve">The units (in whole numbers) of service(s) provided during the period indicated in Field 24A of the detail. </w:t>
            </w:r>
          </w:p>
        </w:tc>
      </w:tr>
      <w:tr w:rsidR="00A956C5" w:rsidRPr="009D7A51" w14:paraId="1B5049E9"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13F25D93" w14:textId="77777777" w:rsidR="00A956C5" w:rsidRPr="009D7A51" w:rsidRDefault="00A956C5" w:rsidP="00663360">
            <w:pPr>
              <w:pStyle w:val="cTableText"/>
              <w:ind w:left="965" w:hanging="475"/>
            </w:pPr>
            <w:r w:rsidRPr="009D7A51">
              <w:t>H.</w:t>
            </w:r>
            <w:r w:rsidRPr="009D7A51">
              <w:tab/>
              <w:t>EPSDT/Family Plan</w:t>
            </w:r>
          </w:p>
        </w:tc>
        <w:tc>
          <w:tcPr>
            <w:tcW w:w="5232" w:type="dxa"/>
            <w:tcBorders>
              <w:top w:val="nil"/>
              <w:left w:val="nil"/>
              <w:bottom w:val="nil"/>
              <w:right w:val="nil"/>
            </w:tcBorders>
          </w:tcPr>
          <w:p w14:paraId="53FC90EA" w14:textId="77777777" w:rsidR="00A956C5" w:rsidRPr="009D7A51" w:rsidRDefault="00A956C5" w:rsidP="00663360">
            <w:pPr>
              <w:pStyle w:val="cTableText"/>
            </w:pPr>
            <w:r w:rsidRPr="009D7A51">
              <w:t>Enter E if the services resulted from a Child Health Services (EPSDT) screening/referral.</w:t>
            </w:r>
          </w:p>
        </w:tc>
      </w:tr>
      <w:tr w:rsidR="00A956C5" w:rsidRPr="009D7A51" w14:paraId="507DE2BE"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72302E82" w14:textId="77777777" w:rsidR="00A956C5" w:rsidRPr="009D7A51" w:rsidRDefault="00A956C5" w:rsidP="00663360">
            <w:pPr>
              <w:pStyle w:val="cTableText"/>
              <w:ind w:left="965" w:hanging="475"/>
            </w:pPr>
            <w:r w:rsidRPr="009D7A51">
              <w:t>I.</w:t>
            </w:r>
            <w:r w:rsidRPr="009D7A51">
              <w:tab/>
              <w:t>ID QUAL</w:t>
            </w:r>
          </w:p>
        </w:tc>
        <w:tc>
          <w:tcPr>
            <w:tcW w:w="5232" w:type="dxa"/>
            <w:tcBorders>
              <w:top w:val="nil"/>
              <w:left w:val="nil"/>
              <w:bottom w:val="nil"/>
              <w:right w:val="nil"/>
            </w:tcBorders>
          </w:tcPr>
          <w:p w14:paraId="3D751A47" w14:textId="77777777" w:rsidR="00A956C5" w:rsidRPr="009D7A51" w:rsidRDefault="00A956C5" w:rsidP="00663360">
            <w:pPr>
              <w:pStyle w:val="cTableText"/>
            </w:pPr>
            <w:r w:rsidRPr="009D7A51">
              <w:t>Not required.</w:t>
            </w:r>
          </w:p>
        </w:tc>
      </w:tr>
      <w:tr w:rsidR="00A956C5" w:rsidRPr="009D7A51" w14:paraId="2F1996E4"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087081C5" w14:textId="77777777" w:rsidR="00A956C5" w:rsidRPr="009D7A51" w:rsidRDefault="00A956C5" w:rsidP="00A956C5">
            <w:pPr>
              <w:pStyle w:val="cTableText"/>
              <w:ind w:left="965" w:hanging="475"/>
            </w:pPr>
            <w:r w:rsidRPr="009D7A51">
              <w:t>J.</w:t>
            </w:r>
            <w:r w:rsidRPr="009D7A51">
              <w:tab/>
              <w:t>RENDERING PROVIDER ID #</w:t>
            </w:r>
          </w:p>
        </w:tc>
        <w:tc>
          <w:tcPr>
            <w:tcW w:w="5232" w:type="dxa"/>
            <w:tcBorders>
              <w:top w:val="nil"/>
              <w:left w:val="nil"/>
              <w:bottom w:val="nil"/>
              <w:right w:val="nil"/>
            </w:tcBorders>
          </w:tcPr>
          <w:p w14:paraId="5F2F27E0" w14:textId="77777777" w:rsidR="00A956C5" w:rsidRPr="009D7A51" w:rsidRDefault="00A956C5" w:rsidP="00A956C5">
            <w:pPr>
              <w:pStyle w:val="cTableText"/>
              <w:rPr>
                <w:rFonts w:cs="Arial"/>
                <w:szCs w:val="21"/>
              </w:rPr>
            </w:pPr>
            <w:r w:rsidRPr="009D7A51">
              <w:rPr>
                <w:rFonts w:cs="Arial"/>
                <w:szCs w:val="21"/>
              </w:rPr>
              <w:t>Enter the 9-digit Arkansas Medicaid provider ID number of the individual who furnished the services billed for in the detail or</w:t>
            </w:r>
          </w:p>
        </w:tc>
      </w:tr>
      <w:tr w:rsidR="00A956C5" w:rsidRPr="009D7A51" w14:paraId="400BF480"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03BE6C7E" w14:textId="77777777" w:rsidR="00A956C5" w:rsidRPr="009D7A51" w:rsidRDefault="00A956C5" w:rsidP="00A956C5">
            <w:pPr>
              <w:pStyle w:val="cTableText"/>
              <w:ind w:left="965" w:hanging="475"/>
            </w:pPr>
            <w:r w:rsidRPr="009D7A51">
              <w:tab/>
              <w:t>NPI</w:t>
            </w:r>
          </w:p>
        </w:tc>
        <w:tc>
          <w:tcPr>
            <w:tcW w:w="5232" w:type="dxa"/>
            <w:tcBorders>
              <w:top w:val="nil"/>
              <w:left w:val="nil"/>
              <w:bottom w:val="nil"/>
              <w:right w:val="nil"/>
            </w:tcBorders>
          </w:tcPr>
          <w:p w14:paraId="3B54D213" w14:textId="77777777" w:rsidR="00A956C5" w:rsidRPr="009D7A51" w:rsidRDefault="00A956C5" w:rsidP="00A956C5">
            <w:pPr>
              <w:pStyle w:val="cTableText"/>
              <w:rPr>
                <w:rFonts w:cs="Arial"/>
                <w:szCs w:val="21"/>
              </w:rPr>
            </w:pPr>
            <w:r w:rsidRPr="009D7A51">
              <w:rPr>
                <w:rFonts w:cs="Arial"/>
                <w:szCs w:val="21"/>
              </w:rPr>
              <w:t>Enter NPI of the individual who furnished the services billed for in the detail.</w:t>
            </w:r>
          </w:p>
        </w:tc>
      </w:tr>
      <w:tr w:rsidR="00A956C5" w:rsidRPr="009D7A51" w14:paraId="41AD2502"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25AFA4EC" w14:textId="77777777" w:rsidR="00A956C5" w:rsidRPr="009D7A51" w:rsidRDefault="00A956C5" w:rsidP="00663360">
            <w:pPr>
              <w:pStyle w:val="cTableText"/>
              <w:ind w:left="475" w:hanging="475"/>
            </w:pPr>
            <w:r w:rsidRPr="009D7A51">
              <w:t>25.</w:t>
            </w:r>
            <w:r w:rsidRPr="009D7A51">
              <w:tab/>
              <w:t>FEDERAL TAX I.D. NUMBER</w:t>
            </w:r>
          </w:p>
        </w:tc>
        <w:tc>
          <w:tcPr>
            <w:tcW w:w="5232" w:type="dxa"/>
            <w:tcBorders>
              <w:top w:val="single" w:sz="6" w:space="0" w:color="000000"/>
              <w:left w:val="nil"/>
              <w:bottom w:val="single" w:sz="6" w:space="0" w:color="000000"/>
              <w:right w:val="nil"/>
            </w:tcBorders>
          </w:tcPr>
          <w:p w14:paraId="5E56C414" w14:textId="77777777" w:rsidR="00A956C5" w:rsidRPr="009D7A51" w:rsidRDefault="00A956C5" w:rsidP="00663360">
            <w:pPr>
              <w:pStyle w:val="cTableText"/>
            </w:pPr>
            <w:r w:rsidRPr="009D7A51">
              <w:t>Not required. This information is carried in the provider’s Medicaid file. If it changes, please contact Provider Enrollment.</w:t>
            </w:r>
          </w:p>
        </w:tc>
      </w:tr>
      <w:tr w:rsidR="00A956C5" w:rsidRPr="009D7A51" w14:paraId="7E2485CE"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2A718D3A" w14:textId="77777777" w:rsidR="00A956C5" w:rsidRPr="009D7A51" w:rsidRDefault="00A956C5" w:rsidP="00663360">
            <w:pPr>
              <w:pStyle w:val="cTableText"/>
              <w:ind w:left="475" w:hanging="475"/>
            </w:pPr>
            <w:r w:rsidRPr="009D7A51">
              <w:t>26.</w:t>
            </w:r>
            <w:r w:rsidRPr="009D7A51">
              <w:tab/>
              <w:t>PATIENT’S ACCOUNT NO.</w:t>
            </w:r>
          </w:p>
        </w:tc>
        <w:tc>
          <w:tcPr>
            <w:tcW w:w="5232" w:type="dxa"/>
            <w:tcBorders>
              <w:top w:val="single" w:sz="6" w:space="0" w:color="000000"/>
              <w:left w:val="nil"/>
              <w:bottom w:val="single" w:sz="6" w:space="0" w:color="000000"/>
              <w:right w:val="nil"/>
            </w:tcBorders>
          </w:tcPr>
          <w:p w14:paraId="6143B931" w14:textId="77777777" w:rsidR="00A956C5" w:rsidRPr="009D7A51" w:rsidRDefault="00A956C5" w:rsidP="00663360">
            <w:pPr>
              <w:pStyle w:val="cTableText"/>
            </w:pPr>
            <w:r w:rsidRPr="009D7A51">
              <w:t>Optional entry that may be used for accounting purposes; use up to 16 numeric or alphabetic characters. This number appears on the Remittance Advice as “MRN.”</w:t>
            </w:r>
          </w:p>
        </w:tc>
      </w:tr>
      <w:tr w:rsidR="00A956C5" w:rsidRPr="009D7A51" w14:paraId="624770E5"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5A2E3D73" w14:textId="77777777" w:rsidR="00A956C5" w:rsidRPr="009D7A51" w:rsidRDefault="00A956C5" w:rsidP="00663360">
            <w:pPr>
              <w:pStyle w:val="cTableText"/>
              <w:ind w:left="475" w:hanging="475"/>
            </w:pPr>
            <w:r w:rsidRPr="009D7A51">
              <w:t>27.</w:t>
            </w:r>
            <w:r w:rsidRPr="009D7A51">
              <w:tab/>
              <w:t>ACCEPT ASSIGNMENT?</w:t>
            </w:r>
          </w:p>
        </w:tc>
        <w:tc>
          <w:tcPr>
            <w:tcW w:w="5232" w:type="dxa"/>
            <w:tcBorders>
              <w:top w:val="single" w:sz="6" w:space="0" w:color="000000"/>
              <w:left w:val="nil"/>
              <w:bottom w:val="single" w:sz="6" w:space="0" w:color="000000"/>
              <w:right w:val="nil"/>
            </w:tcBorders>
          </w:tcPr>
          <w:p w14:paraId="3AF84A4E" w14:textId="77777777" w:rsidR="00A956C5" w:rsidRPr="009D7A51" w:rsidRDefault="00A956C5" w:rsidP="00663360">
            <w:pPr>
              <w:pStyle w:val="cTableText"/>
            </w:pPr>
            <w:r w:rsidRPr="009D7A51">
              <w:t xml:space="preserve">Not required. </w:t>
            </w:r>
            <w:proofErr w:type="gramStart"/>
            <w:r w:rsidRPr="009D7A51">
              <w:t>Assignment is automatically accepted by the provider</w:t>
            </w:r>
            <w:proofErr w:type="gramEnd"/>
            <w:r w:rsidRPr="009D7A51">
              <w:t xml:space="preserve"> when billing Medicaid.</w:t>
            </w:r>
          </w:p>
        </w:tc>
      </w:tr>
      <w:tr w:rsidR="00A956C5" w:rsidRPr="009D7A51" w14:paraId="22F43D41"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69C2E3DF" w14:textId="77777777" w:rsidR="00A956C5" w:rsidRPr="009D7A51" w:rsidRDefault="00A956C5" w:rsidP="00663360">
            <w:pPr>
              <w:pStyle w:val="cTableText"/>
              <w:ind w:left="475" w:hanging="475"/>
            </w:pPr>
            <w:r w:rsidRPr="009D7A51">
              <w:t>28.</w:t>
            </w:r>
            <w:r w:rsidRPr="009D7A51">
              <w:tab/>
              <w:t>TOTAL CHARGE</w:t>
            </w:r>
          </w:p>
        </w:tc>
        <w:tc>
          <w:tcPr>
            <w:tcW w:w="5232" w:type="dxa"/>
            <w:tcBorders>
              <w:top w:val="single" w:sz="6" w:space="0" w:color="000000"/>
              <w:left w:val="nil"/>
              <w:bottom w:val="single" w:sz="6" w:space="0" w:color="000000"/>
              <w:right w:val="nil"/>
            </w:tcBorders>
          </w:tcPr>
          <w:p w14:paraId="74ACC451" w14:textId="77777777" w:rsidR="00A956C5" w:rsidRPr="009D7A51" w:rsidRDefault="00A956C5" w:rsidP="00663360">
            <w:pPr>
              <w:pStyle w:val="cTableText"/>
            </w:pPr>
            <w:r w:rsidRPr="009D7A51">
              <w:t>Total of Column 24F—the sum all charges on the claim.</w:t>
            </w:r>
          </w:p>
        </w:tc>
      </w:tr>
      <w:tr w:rsidR="00A956C5" w:rsidRPr="009D7A51" w14:paraId="1473DC44"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0EDEBAC3" w14:textId="77777777" w:rsidR="00A956C5" w:rsidRPr="009D7A51" w:rsidRDefault="00A956C5" w:rsidP="00663360">
            <w:pPr>
              <w:pStyle w:val="cTableText"/>
              <w:ind w:left="475" w:hanging="475"/>
            </w:pPr>
            <w:r w:rsidRPr="009D7A51">
              <w:t>29.</w:t>
            </w:r>
            <w:r w:rsidRPr="009D7A51">
              <w:tab/>
              <w:t>AMOUNT PAID</w:t>
            </w:r>
          </w:p>
        </w:tc>
        <w:tc>
          <w:tcPr>
            <w:tcW w:w="5232" w:type="dxa"/>
            <w:tcBorders>
              <w:top w:val="single" w:sz="6" w:space="0" w:color="000000"/>
              <w:left w:val="nil"/>
              <w:bottom w:val="single" w:sz="6" w:space="0" w:color="000000"/>
              <w:right w:val="nil"/>
            </w:tcBorders>
          </w:tcPr>
          <w:p w14:paraId="11AF7DA5" w14:textId="77777777" w:rsidR="00A956C5" w:rsidRPr="009D7A51" w:rsidRDefault="00A956C5" w:rsidP="00663360">
            <w:pPr>
              <w:pStyle w:val="cTableText"/>
            </w:pPr>
            <w:r w:rsidRPr="009D7A51">
              <w:t xml:space="preserve">Enter the total of payments previously received on this claim. Do not include amounts previously paid by Medicaid. Do not include in this total the automatically deducted Medicaid or </w:t>
            </w:r>
            <w:proofErr w:type="spellStart"/>
            <w:r w:rsidRPr="009D7A51">
              <w:t>ARKids</w:t>
            </w:r>
            <w:proofErr w:type="spellEnd"/>
            <w:r w:rsidRPr="009D7A51">
              <w:t xml:space="preserve"> First-B co-payments.</w:t>
            </w:r>
          </w:p>
        </w:tc>
      </w:tr>
      <w:tr w:rsidR="00A956C5" w:rsidRPr="009D7A51" w14:paraId="7B657381"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3BD5CE75" w14:textId="77777777" w:rsidR="00A956C5" w:rsidRPr="009D7A51" w:rsidRDefault="00A956C5" w:rsidP="00663360">
            <w:pPr>
              <w:pStyle w:val="cTableText"/>
              <w:ind w:left="475" w:hanging="475"/>
            </w:pPr>
            <w:r w:rsidRPr="009D7A51">
              <w:t>30.</w:t>
            </w:r>
            <w:r w:rsidRPr="009D7A51">
              <w:tab/>
              <w:t>RESERVED</w:t>
            </w:r>
          </w:p>
        </w:tc>
        <w:tc>
          <w:tcPr>
            <w:tcW w:w="5232" w:type="dxa"/>
            <w:tcBorders>
              <w:top w:val="single" w:sz="6" w:space="0" w:color="000000"/>
              <w:left w:val="nil"/>
              <w:bottom w:val="single" w:sz="6" w:space="0" w:color="000000"/>
              <w:right w:val="nil"/>
            </w:tcBorders>
          </w:tcPr>
          <w:p w14:paraId="145E295C" w14:textId="77777777" w:rsidR="00A956C5" w:rsidRPr="009D7A51" w:rsidRDefault="00A956C5" w:rsidP="00663360">
            <w:pPr>
              <w:pStyle w:val="cTableText"/>
            </w:pPr>
            <w:r w:rsidRPr="009D7A51">
              <w:t>Reserved for NUCC use.</w:t>
            </w:r>
          </w:p>
        </w:tc>
      </w:tr>
      <w:tr w:rsidR="00A956C5" w:rsidRPr="009D7A51" w14:paraId="734654AF"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single" w:sz="6" w:space="0" w:color="000000"/>
              <w:right w:val="nil"/>
            </w:tcBorders>
          </w:tcPr>
          <w:p w14:paraId="7E0D07D5" w14:textId="77777777" w:rsidR="00A956C5" w:rsidRPr="009D7A51" w:rsidRDefault="00A956C5" w:rsidP="00663360">
            <w:pPr>
              <w:pStyle w:val="cTableText"/>
              <w:ind w:left="475" w:hanging="475"/>
            </w:pPr>
            <w:r w:rsidRPr="009D7A51">
              <w:t>31.</w:t>
            </w:r>
            <w:r w:rsidRPr="009D7A51">
              <w:tab/>
              <w:t>SIGNATURE OF PHYSICIAN OR SUPPLIER INCLUDING DEGREES OR CREDENTIALS</w:t>
            </w:r>
          </w:p>
        </w:tc>
        <w:tc>
          <w:tcPr>
            <w:tcW w:w="5232" w:type="dxa"/>
            <w:tcBorders>
              <w:top w:val="single" w:sz="6" w:space="0" w:color="000000"/>
              <w:left w:val="nil"/>
              <w:bottom w:val="single" w:sz="6" w:space="0" w:color="000000"/>
              <w:right w:val="nil"/>
            </w:tcBorders>
          </w:tcPr>
          <w:p w14:paraId="54F26CD7" w14:textId="77777777" w:rsidR="00A956C5" w:rsidRPr="009D7A51" w:rsidRDefault="00A956C5" w:rsidP="00663360">
            <w:pPr>
              <w:pStyle w:val="cTableText"/>
            </w:pPr>
            <w:r w:rsidRPr="009D7A51">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A956C5" w:rsidRPr="009D7A51" w14:paraId="42BC03A7"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6C2BC2F2" w14:textId="77777777" w:rsidR="00A956C5" w:rsidRPr="009D7A51" w:rsidRDefault="00A956C5" w:rsidP="00663360">
            <w:pPr>
              <w:pStyle w:val="cTableText"/>
              <w:ind w:left="475" w:hanging="475"/>
            </w:pPr>
            <w:r w:rsidRPr="009D7A51">
              <w:lastRenderedPageBreak/>
              <w:t>32.</w:t>
            </w:r>
            <w:r w:rsidRPr="009D7A51">
              <w:tab/>
              <w:t>SERVICE FACILITY LOCATION INFORMATION</w:t>
            </w:r>
          </w:p>
        </w:tc>
        <w:tc>
          <w:tcPr>
            <w:tcW w:w="5232" w:type="dxa"/>
            <w:tcBorders>
              <w:top w:val="single" w:sz="6" w:space="0" w:color="000000"/>
              <w:left w:val="nil"/>
              <w:bottom w:val="nil"/>
              <w:right w:val="nil"/>
            </w:tcBorders>
          </w:tcPr>
          <w:p w14:paraId="65E2A40A" w14:textId="77777777" w:rsidR="00A956C5" w:rsidRPr="009D7A51" w:rsidRDefault="00A956C5" w:rsidP="00663360">
            <w:pPr>
              <w:pStyle w:val="cTableText"/>
            </w:pPr>
            <w:r w:rsidRPr="009D7A51">
              <w:t>If other than home or office, enter the name and street, city, state, and zip code of the facility where services were performed.</w:t>
            </w:r>
          </w:p>
        </w:tc>
      </w:tr>
      <w:tr w:rsidR="00A956C5" w:rsidRPr="009D7A51" w14:paraId="2C5722FC"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41E4E659" w14:textId="77777777" w:rsidR="00A956C5" w:rsidRPr="009D7A51" w:rsidRDefault="00A956C5" w:rsidP="00663360">
            <w:pPr>
              <w:pStyle w:val="cTableText"/>
              <w:ind w:left="475" w:hanging="475"/>
            </w:pPr>
            <w:r w:rsidRPr="009D7A51">
              <w:tab/>
              <w:t>a.</w:t>
            </w:r>
            <w:r w:rsidRPr="009D7A51">
              <w:tab/>
              <w:t>(blank)</w:t>
            </w:r>
          </w:p>
        </w:tc>
        <w:tc>
          <w:tcPr>
            <w:tcW w:w="5232" w:type="dxa"/>
            <w:tcBorders>
              <w:top w:val="nil"/>
              <w:left w:val="nil"/>
              <w:bottom w:val="nil"/>
              <w:right w:val="nil"/>
            </w:tcBorders>
          </w:tcPr>
          <w:p w14:paraId="0565C585" w14:textId="77777777" w:rsidR="00A956C5" w:rsidRPr="009D7A51" w:rsidRDefault="00A956C5" w:rsidP="00663360">
            <w:pPr>
              <w:pStyle w:val="cTableText"/>
            </w:pPr>
            <w:r w:rsidRPr="009D7A51">
              <w:t>Not required.</w:t>
            </w:r>
          </w:p>
        </w:tc>
      </w:tr>
      <w:tr w:rsidR="00A956C5" w:rsidRPr="009D7A51" w14:paraId="7CFAB6C7"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25E5E2B5" w14:textId="77777777" w:rsidR="00A956C5" w:rsidRPr="009D7A51" w:rsidRDefault="00A956C5" w:rsidP="00663360">
            <w:pPr>
              <w:pStyle w:val="cTableText"/>
              <w:ind w:left="475" w:hanging="475"/>
            </w:pPr>
            <w:r w:rsidRPr="009D7A51">
              <w:tab/>
              <w:t>b.</w:t>
            </w:r>
            <w:r w:rsidRPr="009D7A51">
              <w:tab/>
              <w:t>(blank)</w:t>
            </w:r>
          </w:p>
        </w:tc>
        <w:tc>
          <w:tcPr>
            <w:tcW w:w="5232" w:type="dxa"/>
            <w:tcBorders>
              <w:top w:val="nil"/>
              <w:left w:val="nil"/>
              <w:bottom w:val="nil"/>
              <w:right w:val="nil"/>
            </w:tcBorders>
          </w:tcPr>
          <w:p w14:paraId="7F370654" w14:textId="77777777" w:rsidR="00A956C5" w:rsidRPr="009D7A51" w:rsidRDefault="00A956C5" w:rsidP="00663360">
            <w:pPr>
              <w:pStyle w:val="cTableText"/>
            </w:pPr>
            <w:r w:rsidRPr="009D7A51">
              <w:t>Not required.</w:t>
            </w:r>
          </w:p>
        </w:tc>
      </w:tr>
      <w:tr w:rsidR="00A956C5" w:rsidRPr="009D7A51" w14:paraId="7D41D73D" w14:textId="77777777" w:rsidTr="00663360">
        <w:tblPrEx>
          <w:tblCellMar>
            <w:top w:w="0" w:type="dxa"/>
            <w:bottom w:w="0" w:type="dxa"/>
          </w:tblCellMar>
        </w:tblPrEx>
        <w:trPr>
          <w:gridAfter w:val="1"/>
          <w:wAfter w:w="45" w:type="dxa"/>
          <w:cantSplit/>
        </w:trPr>
        <w:tc>
          <w:tcPr>
            <w:tcW w:w="3622" w:type="dxa"/>
            <w:tcBorders>
              <w:top w:val="single" w:sz="6" w:space="0" w:color="000000"/>
              <w:left w:val="nil"/>
              <w:bottom w:val="nil"/>
              <w:right w:val="nil"/>
            </w:tcBorders>
          </w:tcPr>
          <w:p w14:paraId="3942F0A5" w14:textId="77777777" w:rsidR="00A956C5" w:rsidRPr="009D7A51" w:rsidRDefault="00A956C5" w:rsidP="00663360">
            <w:pPr>
              <w:pStyle w:val="cTableText"/>
              <w:ind w:left="475" w:hanging="475"/>
            </w:pPr>
            <w:r w:rsidRPr="009D7A51">
              <w:t>33.</w:t>
            </w:r>
            <w:r w:rsidRPr="009D7A51">
              <w:tab/>
              <w:t>BILLING PROVIDER INFO &amp; PH #</w:t>
            </w:r>
          </w:p>
        </w:tc>
        <w:tc>
          <w:tcPr>
            <w:tcW w:w="5232" w:type="dxa"/>
            <w:tcBorders>
              <w:top w:val="single" w:sz="6" w:space="0" w:color="000000"/>
              <w:left w:val="nil"/>
              <w:bottom w:val="nil"/>
              <w:right w:val="nil"/>
            </w:tcBorders>
          </w:tcPr>
          <w:p w14:paraId="5816C9A0" w14:textId="77777777" w:rsidR="00A956C5" w:rsidRPr="009D7A51" w:rsidRDefault="00A956C5" w:rsidP="00663360">
            <w:pPr>
              <w:pStyle w:val="cTableText"/>
            </w:pPr>
            <w:r w:rsidRPr="009D7A51">
              <w:t>Billing provider’s name and complete address. Telephone number is requested but not required.</w:t>
            </w:r>
          </w:p>
        </w:tc>
      </w:tr>
      <w:tr w:rsidR="00A956C5" w:rsidRPr="009D7A51" w:rsidDel="00B77E35" w14:paraId="55B41BA1" w14:textId="77777777" w:rsidTr="00663360">
        <w:tblPrEx>
          <w:tblCellMar>
            <w:top w:w="0" w:type="dxa"/>
            <w:bottom w:w="0" w:type="dxa"/>
          </w:tblCellMar>
        </w:tblPrEx>
        <w:trPr>
          <w:gridAfter w:val="1"/>
          <w:wAfter w:w="45" w:type="dxa"/>
          <w:cantSplit/>
        </w:trPr>
        <w:tc>
          <w:tcPr>
            <w:tcW w:w="3622" w:type="dxa"/>
            <w:tcBorders>
              <w:top w:val="nil"/>
              <w:left w:val="nil"/>
              <w:bottom w:val="nil"/>
              <w:right w:val="nil"/>
            </w:tcBorders>
          </w:tcPr>
          <w:p w14:paraId="61EB3060" w14:textId="77777777" w:rsidR="00A956C5" w:rsidRPr="009D7A51" w:rsidDel="00B77E35" w:rsidRDefault="00A956C5" w:rsidP="00A956C5">
            <w:pPr>
              <w:pStyle w:val="cTableText"/>
              <w:ind w:left="475" w:firstLine="40"/>
            </w:pPr>
            <w:r w:rsidRPr="009D7A51">
              <w:t>a.</w:t>
            </w:r>
            <w:r w:rsidRPr="009D7A51">
              <w:tab/>
              <w:t>(blank)</w:t>
            </w:r>
          </w:p>
        </w:tc>
        <w:tc>
          <w:tcPr>
            <w:tcW w:w="5232" w:type="dxa"/>
            <w:tcBorders>
              <w:top w:val="nil"/>
              <w:left w:val="nil"/>
              <w:bottom w:val="nil"/>
              <w:right w:val="nil"/>
            </w:tcBorders>
          </w:tcPr>
          <w:p w14:paraId="16ABBE66" w14:textId="77777777" w:rsidR="00A956C5" w:rsidRPr="009D7A51" w:rsidRDefault="00A956C5" w:rsidP="00A956C5">
            <w:pPr>
              <w:pStyle w:val="cTableText"/>
              <w:rPr>
                <w:rFonts w:cs="Arial"/>
                <w:szCs w:val="21"/>
              </w:rPr>
            </w:pPr>
            <w:r w:rsidRPr="009D7A51">
              <w:rPr>
                <w:rFonts w:cs="Arial"/>
                <w:szCs w:val="21"/>
              </w:rPr>
              <w:t>Enter NPI of the billing provider or</w:t>
            </w:r>
          </w:p>
        </w:tc>
      </w:tr>
      <w:tr w:rsidR="00A956C5" w:rsidRPr="009D7A51" w14:paraId="6BA07C2E" w14:textId="77777777" w:rsidTr="00663360">
        <w:tblPrEx>
          <w:tblCellMar>
            <w:top w:w="0" w:type="dxa"/>
            <w:bottom w:w="0" w:type="dxa"/>
          </w:tblCellMar>
        </w:tblPrEx>
        <w:trPr>
          <w:gridAfter w:val="1"/>
          <w:wAfter w:w="45" w:type="dxa"/>
          <w:cantSplit/>
        </w:trPr>
        <w:tc>
          <w:tcPr>
            <w:tcW w:w="3622" w:type="dxa"/>
            <w:tcBorders>
              <w:top w:val="nil"/>
              <w:left w:val="nil"/>
              <w:bottom w:val="single" w:sz="4" w:space="0" w:color="auto"/>
              <w:right w:val="nil"/>
            </w:tcBorders>
          </w:tcPr>
          <w:p w14:paraId="7994E1C0" w14:textId="77777777" w:rsidR="00A956C5" w:rsidRPr="009D7A51" w:rsidRDefault="00A956C5" w:rsidP="00A956C5">
            <w:pPr>
              <w:pStyle w:val="cTableText"/>
              <w:ind w:left="475" w:firstLine="40"/>
            </w:pPr>
            <w:r w:rsidRPr="009D7A51">
              <w:t>b.</w:t>
            </w:r>
            <w:r w:rsidRPr="009D7A51">
              <w:tab/>
              <w:t>(blank)</w:t>
            </w:r>
          </w:p>
        </w:tc>
        <w:tc>
          <w:tcPr>
            <w:tcW w:w="5232" w:type="dxa"/>
            <w:tcBorders>
              <w:top w:val="nil"/>
              <w:left w:val="nil"/>
              <w:bottom w:val="single" w:sz="4" w:space="0" w:color="auto"/>
              <w:right w:val="nil"/>
            </w:tcBorders>
          </w:tcPr>
          <w:p w14:paraId="5FA58307" w14:textId="77777777" w:rsidR="00A956C5" w:rsidRPr="009D7A51" w:rsidRDefault="00A956C5" w:rsidP="00A956C5">
            <w:pPr>
              <w:pStyle w:val="cTableText"/>
              <w:rPr>
                <w:rFonts w:cs="Arial"/>
                <w:szCs w:val="21"/>
              </w:rPr>
            </w:pPr>
            <w:r w:rsidRPr="009D7A51">
              <w:rPr>
                <w:rFonts w:cs="Arial"/>
                <w:szCs w:val="21"/>
              </w:rPr>
              <w:t>Enter the 9-digit Arkansas Medicaid provider ID number of the billing provider.</w:t>
            </w:r>
          </w:p>
        </w:tc>
      </w:tr>
    </w:tbl>
    <w:p w14:paraId="06C8EC59" w14:textId="77777777" w:rsidR="007162B5" w:rsidRPr="009D7A51" w:rsidRDefault="007162B5" w:rsidP="007162B5">
      <w:pPr>
        <w:pStyle w:val="ctablespace"/>
      </w:pPr>
    </w:p>
    <w:tbl>
      <w:tblPr>
        <w:tblW w:w="936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8106"/>
        <w:gridCol w:w="1254"/>
      </w:tblGrid>
      <w:tr w:rsidR="002B30F8" w:rsidRPr="009D7A51" w14:paraId="108C7796" w14:textId="77777777" w:rsidTr="003F7CE0">
        <w:tblPrEx>
          <w:tblCellMar>
            <w:top w:w="0" w:type="dxa"/>
            <w:bottom w:w="0" w:type="dxa"/>
          </w:tblCellMar>
        </w:tblPrEx>
        <w:trPr>
          <w:cantSplit/>
        </w:trPr>
        <w:tc>
          <w:tcPr>
            <w:tcW w:w="8106" w:type="dxa"/>
          </w:tcPr>
          <w:p w14:paraId="651FBAB7" w14:textId="77777777" w:rsidR="002B30F8" w:rsidRPr="009D7A51" w:rsidRDefault="002B30F8" w:rsidP="002B30F8">
            <w:pPr>
              <w:pStyle w:val="chead2"/>
            </w:pPr>
            <w:bookmarkStart w:id="155" w:name="_Toc131498624"/>
            <w:bookmarkStart w:id="156" w:name="_Toc164072179"/>
            <w:bookmarkStart w:id="157" w:name="_Toc199331915"/>
            <w:r w:rsidRPr="009D7A51">
              <w:t>243.400</w:t>
            </w:r>
            <w:r w:rsidRPr="009D7A51">
              <w:tab/>
            </w:r>
            <w:bookmarkEnd w:id="155"/>
            <w:bookmarkEnd w:id="156"/>
            <w:r w:rsidR="0035620C" w:rsidRPr="009D7A51">
              <w:t>Special Billing Procedures</w:t>
            </w:r>
            <w:bookmarkEnd w:id="157"/>
          </w:p>
        </w:tc>
        <w:tc>
          <w:tcPr>
            <w:tcW w:w="1254" w:type="dxa"/>
          </w:tcPr>
          <w:p w14:paraId="0D4AFB04" w14:textId="77777777" w:rsidR="002B30F8" w:rsidRPr="009D7A51" w:rsidRDefault="0035620C" w:rsidP="002B30F8">
            <w:pPr>
              <w:pStyle w:val="cDate2"/>
            </w:pPr>
            <w:r w:rsidRPr="009D7A51">
              <w:t>2-1-22</w:t>
            </w:r>
          </w:p>
        </w:tc>
      </w:tr>
    </w:tbl>
    <w:p w14:paraId="77D472A1" w14:textId="77777777" w:rsidR="0035620C" w:rsidRPr="009D7A51" w:rsidRDefault="0035620C" w:rsidP="0035620C">
      <w:pPr>
        <w:pStyle w:val="ctext"/>
      </w:pPr>
      <w:r w:rsidRPr="009D7A51">
        <w:t xml:space="preserve">Prosthetic providers that bill procedure codes electronically must use an </w:t>
      </w:r>
      <w:r w:rsidRPr="009D7A51">
        <w:rPr>
          <w:b/>
        </w:rPr>
        <w:t>NU</w:t>
      </w:r>
      <w:r w:rsidRPr="009D7A51">
        <w:t xml:space="preserve"> modifier.  Prosthetic providers billing either of the above procedure codes on paper must also use an </w:t>
      </w:r>
      <w:r w:rsidRPr="009D7A51">
        <w:rPr>
          <w:b/>
        </w:rPr>
        <w:t>NU</w:t>
      </w:r>
      <w:r w:rsidRPr="009D7A51">
        <w:t xml:space="preserve"> modifier.</w:t>
      </w:r>
    </w:p>
    <w:p w14:paraId="2C3E9316" w14:textId="77777777" w:rsidR="002B30F8" w:rsidRPr="00F7780C" w:rsidRDefault="0035620C" w:rsidP="002B30F8">
      <w:pPr>
        <w:pStyle w:val="ctext"/>
      </w:pPr>
      <w:hyperlink r:id="rId50" w:history="1">
        <w:r w:rsidRPr="009D7A51">
          <w:rPr>
            <w:rStyle w:val="Hyperlink"/>
          </w:rPr>
          <w:t>View or print the procedure codes for Vision services.</w:t>
        </w:r>
      </w:hyperlink>
    </w:p>
    <w:sectPr w:rsidR="002B30F8" w:rsidRPr="00F7780C">
      <w:headerReference w:type="default" r:id="rId51"/>
      <w:footerReference w:type="default" r:id="rId52"/>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9368" w14:textId="77777777" w:rsidR="00063288" w:rsidRDefault="00063288">
      <w:r>
        <w:separator/>
      </w:r>
    </w:p>
  </w:endnote>
  <w:endnote w:type="continuationSeparator" w:id="0">
    <w:p w14:paraId="5572435C" w14:textId="77777777" w:rsidR="00063288" w:rsidRDefault="000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3B00" w14:textId="77777777" w:rsidR="003B12B8" w:rsidRDefault="003B12B8">
    <w:pPr>
      <w:pStyle w:val="Footer"/>
    </w:pPr>
    <w:r>
      <w:tab/>
      <w:t>Section II-</w:t>
    </w:r>
    <w:r>
      <w:fldChar w:fldCharType="begin"/>
    </w:r>
    <w:r>
      <w:instrText xml:space="preserve"> PAGE </w:instrText>
    </w:r>
    <w:r>
      <w:fldChar w:fldCharType="separate"/>
    </w:r>
    <w:r w:rsidR="00B3685B">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B9D0" w14:textId="77777777" w:rsidR="00063288" w:rsidRDefault="00063288">
      <w:r>
        <w:separator/>
      </w:r>
    </w:p>
  </w:footnote>
  <w:footnote w:type="continuationSeparator" w:id="0">
    <w:p w14:paraId="0658276A" w14:textId="77777777" w:rsidR="00063288" w:rsidRDefault="000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56FE" w14:textId="77777777" w:rsidR="003B12B8" w:rsidRDefault="003B12B8" w:rsidP="00B370B8">
    <w:pPr>
      <w:pStyle w:val="Header"/>
      <w:spacing w:after="120"/>
    </w:pPr>
    <w:r>
      <w:t>Visual Care</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28C7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D0F2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F88F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7275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10C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8282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085E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B8EC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345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CC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55601"/>
    <w:multiLevelType w:val="hybridMultilevel"/>
    <w:tmpl w:val="0690123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2F3C39"/>
    <w:multiLevelType w:val="hybridMultilevel"/>
    <w:tmpl w:val="2FA0915A"/>
    <w:lvl w:ilvl="0" w:tplc="B91AC92C">
      <w:start w:val="1"/>
      <w:numFmt w:val="lowerLetter"/>
      <w:lvlText w:val="%1."/>
      <w:legacy w:legacy="1" w:legacySpace="120" w:legacyIndent="475"/>
      <w:lvlJc w:val="left"/>
      <w:pPr>
        <w:ind w:left="1915" w:hanging="475"/>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5A0D14"/>
    <w:multiLevelType w:val="hybridMultilevel"/>
    <w:tmpl w:val="569068B6"/>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636F14"/>
    <w:multiLevelType w:val="hybridMultilevel"/>
    <w:tmpl w:val="55F88F46"/>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5E7FA8"/>
    <w:multiLevelType w:val="hybridMultilevel"/>
    <w:tmpl w:val="67545818"/>
    <w:lvl w:ilvl="0" w:tplc="3C70EEC6">
      <w:start w:val="1"/>
      <w:numFmt w:val="decimal"/>
      <w:lvlText w:val="%1."/>
      <w:lvlJc w:val="left"/>
      <w:pPr>
        <w:tabs>
          <w:tab w:val="num" w:pos="1267"/>
        </w:tabs>
        <w:ind w:left="1267"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003247"/>
    <w:multiLevelType w:val="hybridMultilevel"/>
    <w:tmpl w:val="1FF43516"/>
    <w:lvl w:ilvl="0" w:tplc="B15C937A">
      <w:start w:val="1"/>
      <w:numFmt w:val="decimal"/>
      <w:lvlText w:val="%1."/>
      <w:legacy w:legacy="1" w:legacySpace="120" w:legacyIndent="533"/>
      <w:lvlJc w:val="left"/>
      <w:pPr>
        <w:ind w:left="1440" w:hanging="533"/>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056E4B"/>
    <w:multiLevelType w:val="hybridMultilevel"/>
    <w:tmpl w:val="A3D83340"/>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92F43"/>
    <w:multiLevelType w:val="hybridMultilevel"/>
    <w:tmpl w:val="C06C78C0"/>
    <w:lvl w:ilvl="0" w:tplc="21644522">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9" w15:restartNumberingAfterBreak="0">
    <w:nsid w:val="52107C21"/>
    <w:multiLevelType w:val="singleLevel"/>
    <w:tmpl w:val="B91AC92C"/>
    <w:lvl w:ilvl="0">
      <w:start w:val="1"/>
      <w:numFmt w:val="lowerLetter"/>
      <w:lvlText w:val="%1."/>
      <w:legacy w:legacy="1" w:legacySpace="120" w:legacyIndent="475"/>
      <w:lvlJc w:val="left"/>
      <w:pPr>
        <w:ind w:left="1915" w:hanging="475"/>
      </w:pPr>
      <w:rPr>
        <w:rFonts w:ascii="Arial" w:hAnsi="Arial" w:hint="default"/>
      </w:rPr>
    </w:lvl>
  </w:abstractNum>
  <w:abstractNum w:abstractNumId="20" w15:restartNumberingAfterBreak="0">
    <w:nsid w:val="57B1760B"/>
    <w:multiLevelType w:val="hybridMultilevel"/>
    <w:tmpl w:val="1A0A3846"/>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A0EFF"/>
    <w:multiLevelType w:val="hybridMultilevel"/>
    <w:tmpl w:val="10E0E366"/>
    <w:lvl w:ilvl="0" w:tplc="7256F22A">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3CC02252">
      <w:start w:val="314"/>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9412DB"/>
    <w:multiLevelType w:val="hybridMultilevel"/>
    <w:tmpl w:val="0818F5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14381C"/>
    <w:multiLevelType w:val="hybridMultilevel"/>
    <w:tmpl w:val="DD8E0B84"/>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28270B"/>
    <w:multiLevelType w:val="hybridMultilevel"/>
    <w:tmpl w:val="047209A8"/>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B814D5"/>
    <w:multiLevelType w:val="singleLevel"/>
    <w:tmpl w:val="0D0A79A8"/>
    <w:lvl w:ilvl="0">
      <w:start w:val="1"/>
      <w:numFmt w:val="upperLetter"/>
      <w:lvlText w:val="%1."/>
      <w:lvlJc w:val="left"/>
      <w:pPr>
        <w:tabs>
          <w:tab w:val="num" w:pos="907"/>
        </w:tabs>
        <w:ind w:left="907" w:hanging="547"/>
      </w:pPr>
      <w:rPr>
        <w:rFonts w:ascii="Arial" w:hAnsi="Arial" w:hint="default"/>
      </w:rPr>
    </w:lvl>
  </w:abstractNum>
  <w:num w:numId="1" w16cid:durableId="211114577">
    <w:abstractNumId w:val="13"/>
  </w:num>
  <w:num w:numId="2" w16cid:durableId="321860812">
    <w:abstractNumId w:val="25"/>
  </w:num>
  <w:num w:numId="3" w16cid:durableId="850998206">
    <w:abstractNumId w:val="26"/>
  </w:num>
  <w:num w:numId="4" w16cid:durableId="827357596">
    <w:abstractNumId w:val="26"/>
    <w:lvlOverride w:ilvl="0">
      <w:startOverride w:val="1"/>
    </w:lvlOverride>
  </w:num>
  <w:num w:numId="5" w16cid:durableId="692460303">
    <w:abstractNumId w:val="26"/>
    <w:lvlOverride w:ilvl="0">
      <w:startOverride w:val="1"/>
    </w:lvlOverride>
  </w:num>
  <w:num w:numId="6" w16cid:durableId="1129663057">
    <w:abstractNumId w:val="26"/>
    <w:lvlOverride w:ilvl="0">
      <w:startOverride w:val="1"/>
    </w:lvlOverride>
  </w:num>
  <w:num w:numId="7" w16cid:durableId="1509251538">
    <w:abstractNumId w:val="26"/>
    <w:lvlOverride w:ilvl="0">
      <w:startOverride w:val="1"/>
    </w:lvlOverride>
  </w:num>
  <w:num w:numId="8" w16cid:durableId="364212322">
    <w:abstractNumId w:val="26"/>
    <w:lvlOverride w:ilvl="0">
      <w:startOverride w:val="1"/>
    </w:lvlOverride>
  </w:num>
  <w:num w:numId="9" w16cid:durableId="941454342">
    <w:abstractNumId w:val="26"/>
    <w:lvlOverride w:ilvl="0">
      <w:startOverride w:val="1"/>
    </w:lvlOverride>
  </w:num>
  <w:num w:numId="10" w16cid:durableId="1498615999">
    <w:abstractNumId w:val="26"/>
    <w:lvlOverride w:ilvl="0">
      <w:startOverride w:val="1"/>
    </w:lvlOverride>
  </w:num>
  <w:num w:numId="11" w16cid:durableId="613288342">
    <w:abstractNumId w:val="26"/>
    <w:lvlOverride w:ilvl="0">
      <w:startOverride w:val="1"/>
    </w:lvlOverride>
  </w:num>
  <w:num w:numId="12" w16cid:durableId="1763985345">
    <w:abstractNumId w:val="26"/>
    <w:lvlOverride w:ilvl="0">
      <w:startOverride w:val="1"/>
    </w:lvlOverride>
  </w:num>
  <w:num w:numId="13" w16cid:durableId="122621927">
    <w:abstractNumId w:val="26"/>
    <w:lvlOverride w:ilvl="0">
      <w:startOverride w:val="1"/>
    </w:lvlOverride>
  </w:num>
  <w:num w:numId="14" w16cid:durableId="1194462656">
    <w:abstractNumId w:val="18"/>
  </w:num>
  <w:num w:numId="15" w16cid:durableId="710761119">
    <w:abstractNumId w:val="22"/>
  </w:num>
  <w:num w:numId="16" w16cid:durableId="1449811611">
    <w:abstractNumId w:val="21"/>
  </w:num>
  <w:num w:numId="17" w16cid:durableId="760838581">
    <w:abstractNumId w:val="14"/>
  </w:num>
  <w:num w:numId="18" w16cid:durableId="1475491901">
    <w:abstractNumId w:val="19"/>
  </w:num>
  <w:num w:numId="19" w16cid:durableId="1263419922">
    <w:abstractNumId w:val="16"/>
  </w:num>
  <w:num w:numId="20" w16cid:durableId="1753886855">
    <w:abstractNumId w:val="24"/>
  </w:num>
  <w:num w:numId="21" w16cid:durableId="1695379949">
    <w:abstractNumId w:val="11"/>
  </w:num>
  <w:num w:numId="22" w16cid:durableId="1334993734">
    <w:abstractNumId w:val="20"/>
  </w:num>
  <w:num w:numId="23" w16cid:durableId="783884965">
    <w:abstractNumId w:val="26"/>
    <w:lvlOverride w:ilvl="0">
      <w:startOverride w:val="1"/>
    </w:lvlOverride>
  </w:num>
  <w:num w:numId="24" w16cid:durableId="1193880821">
    <w:abstractNumId w:val="26"/>
    <w:lvlOverride w:ilvl="0">
      <w:startOverride w:val="1"/>
    </w:lvlOverride>
  </w:num>
  <w:num w:numId="25" w16cid:durableId="1775787189">
    <w:abstractNumId w:val="21"/>
    <w:lvlOverride w:ilvl="0">
      <w:startOverride w:val="1"/>
    </w:lvlOverride>
  </w:num>
  <w:num w:numId="26" w16cid:durableId="1429229870">
    <w:abstractNumId w:val="26"/>
    <w:lvlOverride w:ilvl="0">
      <w:startOverride w:val="1"/>
    </w:lvlOverride>
  </w:num>
  <w:num w:numId="27" w16cid:durableId="586962309">
    <w:abstractNumId w:val="21"/>
    <w:lvlOverride w:ilvl="0">
      <w:startOverride w:val="1"/>
    </w:lvlOverride>
  </w:num>
  <w:num w:numId="28" w16cid:durableId="535195617">
    <w:abstractNumId w:val="26"/>
    <w:lvlOverride w:ilvl="0">
      <w:startOverride w:val="1"/>
    </w:lvlOverride>
  </w:num>
  <w:num w:numId="29" w16cid:durableId="1770421219">
    <w:abstractNumId w:val="21"/>
    <w:lvlOverride w:ilvl="0">
      <w:startOverride w:val="1"/>
    </w:lvlOverride>
  </w:num>
  <w:num w:numId="30" w16cid:durableId="2101020412">
    <w:abstractNumId w:val="21"/>
    <w:lvlOverride w:ilvl="0">
      <w:startOverride w:val="1"/>
    </w:lvlOverride>
  </w:num>
  <w:num w:numId="31" w16cid:durableId="277874941">
    <w:abstractNumId w:val="15"/>
  </w:num>
  <w:num w:numId="32" w16cid:durableId="2017540267">
    <w:abstractNumId w:val="21"/>
    <w:lvlOverride w:ilvl="0">
      <w:startOverride w:val="1"/>
    </w:lvlOverride>
  </w:num>
  <w:num w:numId="33" w16cid:durableId="1139424636">
    <w:abstractNumId w:val="21"/>
    <w:lvlOverride w:ilvl="0">
      <w:startOverride w:val="1"/>
    </w:lvlOverride>
  </w:num>
  <w:num w:numId="34" w16cid:durableId="1825969264">
    <w:abstractNumId w:val="21"/>
    <w:lvlOverride w:ilvl="0">
      <w:startOverride w:val="1"/>
    </w:lvlOverride>
  </w:num>
  <w:num w:numId="35" w16cid:durableId="952981650">
    <w:abstractNumId w:val="9"/>
  </w:num>
  <w:num w:numId="36" w16cid:durableId="725952322">
    <w:abstractNumId w:val="7"/>
  </w:num>
  <w:num w:numId="37" w16cid:durableId="1320814115">
    <w:abstractNumId w:val="6"/>
  </w:num>
  <w:num w:numId="38" w16cid:durableId="760373461">
    <w:abstractNumId w:val="5"/>
  </w:num>
  <w:num w:numId="39" w16cid:durableId="581060586">
    <w:abstractNumId w:val="4"/>
  </w:num>
  <w:num w:numId="40" w16cid:durableId="514466290">
    <w:abstractNumId w:val="8"/>
  </w:num>
  <w:num w:numId="41" w16cid:durableId="2016220842">
    <w:abstractNumId w:val="3"/>
  </w:num>
  <w:num w:numId="42" w16cid:durableId="507335768">
    <w:abstractNumId w:val="2"/>
  </w:num>
  <w:num w:numId="43" w16cid:durableId="2117209955">
    <w:abstractNumId w:val="1"/>
  </w:num>
  <w:num w:numId="44" w16cid:durableId="1903250730">
    <w:abstractNumId w:val="0"/>
  </w:num>
  <w:num w:numId="45" w16cid:durableId="374738686">
    <w:abstractNumId w:val="10"/>
  </w:num>
  <w:num w:numId="46" w16cid:durableId="1530676210">
    <w:abstractNumId w:val="12"/>
  </w:num>
  <w:num w:numId="47" w16cid:durableId="1273319017">
    <w:abstractNumId w:val="17"/>
  </w:num>
  <w:num w:numId="48" w16cid:durableId="12684666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v:stroke weight="1.5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B89"/>
    <w:rsid w:val="00001093"/>
    <w:rsid w:val="000030A8"/>
    <w:rsid w:val="0001459C"/>
    <w:rsid w:val="00014CD1"/>
    <w:rsid w:val="00022C25"/>
    <w:rsid w:val="0003795A"/>
    <w:rsid w:val="000416DE"/>
    <w:rsid w:val="00044855"/>
    <w:rsid w:val="00063288"/>
    <w:rsid w:val="00063575"/>
    <w:rsid w:val="00087590"/>
    <w:rsid w:val="000A3B32"/>
    <w:rsid w:val="000B2698"/>
    <w:rsid w:val="000D0A0F"/>
    <w:rsid w:val="000D4D8C"/>
    <w:rsid w:val="000E37B8"/>
    <w:rsid w:val="000E5279"/>
    <w:rsid w:val="000E653C"/>
    <w:rsid w:val="00104DA5"/>
    <w:rsid w:val="00111762"/>
    <w:rsid w:val="00116CB7"/>
    <w:rsid w:val="0012062D"/>
    <w:rsid w:val="00146668"/>
    <w:rsid w:val="00155E0E"/>
    <w:rsid w:val="00160AFC"/>
    <w:rsid w:val="001669DC"/>
    <w:rsid w:val="00167B03"/>
    <w:rsid w:val="0017242B"/>
    <w:rsid w:val="00177A18"/>
    <w:rsid w:val="00181621"/>
    <w:rsid w:val="001C4DC7"/>
    <w:rsid w:val="001D09A9"/>
    <w:rsid w:val="001D4394"/>
    <w:rsid w:val="001D53DD"/>
    <w:rsid w:val="001D6440"/>
    <w:rsid w:val="001E0F8E"/>
    <w:rsid w:val="001E4FFB"/>
    <w:rsid w:val="00200721"/>
    <w:rsid w:val="0020698C"/>
    <w:rsid w:val="002110A2"/>
    <w:rsid w:val="0022647D"/>
    <w:rsid w:val="0022740D"/>
    <w:rsid w:val="00241E13"/>
    <w:rsid w:val="002436AE"/>
    <w:rsid w:val="00243977"/>
    <w:rsid w:val="00250529"/>
    <w:rsid w:val="00254642"/>
    <w:rsid w:val="002553EF"/>
    <w:rsid w:val="00261E23"/>
    <w:rsid w:val="002653E3"/>
    <w:rsid w:val="00271D92"/>
    <w:rsid w:val="00283238"/>
    <w:rsid w:val="0028403D"/>
    <w:rsid w:val="00287F06"/>
    <w:rsid w:val="00292A21"/>
    <w:rsid w:val="00297C5B"/>
    <w:rsid w:val="002B25D6"/>
    <w:rsid w:val="002B30F8"/>
    <w:rsid w:val="002B321A"/>
    <w:rsid w:val="002B5C55"/>
    <w:rsid w:val="002C149C"/>
    <w:rsid w:val="002C3F3B"/>
    <w:rsid w:val="002C678C"/>
    <w:rsid w:val="002D0A0B"/>
    <w:rsid w:val="002F611D"/>
    <w:rsid w:val="00316714"/>
    <w:rsid w:val="0032569C"/>
    <w:rsid w:val="00327145"/>
    <w:rsid w:val="00342A3C"/>
    <w:rsid w:val="00344614"/>
    <w:rsid w:val="00351B05"/>
    <w:rsid w:val="0035620C"/>
    <w:rsid w:val="0036215C"/>
    <w:rsid w:val="00386970"/>
    <w:rsid w:val="00387927"/>
    <w:rsid w:val="0039084E"/>
    <w:rsid w:val="0039215E"/>
    <w:rsid w:val="003975B3"/>
    <w:rsid w:val="003A3690"/>
    <w:rsid w:val="003A4612"/>
    <w:rsid w:val="003B12B8"/>
    <w:rsid w:val="003F239E"/>
    <w:rsid w:val="003F4546"/>
    <w:rsid w:val="003F57D8"/>
    <w:rsid w:val="003F660F"/>
    <w:rsid w:val="003F74CC"/>
    <w:rsid w:val="003F7CE0"/>
    <w:rsid w:val="00407B36"/>
    <w:rsid w:val="00414A62"/>
    <w:rsid w:val="00415F02"/>
    <w:rsid w:val="00422036"/>
    <w:rsid w:val="00422466"/>
    <w:rsid w:val="004228B0"/>
    <w:rsid w:val="00430682"/>
    <w:rsid w:val="0044476F"/>
    <w:rsid w:val="00447F77"/>
    <w:rsid w:val="004602B7"/>
    <w:rsid w:val="00464D2C"/>
    <w:rsid w:val="004661BD"/>
    <w:rsid w:val="00477003"/>
    <w:rsid w:val="00480EE1"/>
    <w:rsid w:val="004923F0"/>
    <w:rsid w:val="00496747"/>
    <w:rsid w:val="004D3AA5"/>
    <w:rsid w:val="004E1B2B"/>
    <w:rsid w:val="004F1026"/>
    <w:rsid w:val="004F12B4"/>
    <w:rsid w:val="004F23D0"/>
    <w:rsid w:val="004F701D"/>
    <w:rsid w:val="005039B1"/>
    <w:rsid w:val="00503F31"/>
    <w:rsid w:val="0051472D"/>
    <w:rsid w:val="00517A2C"/>
    <w:rsid w:val="00533A2C"/>
    <w:rsid w:val="005400C3"/>
    <w:rsid w:val="005424B9"/>
    <w:rsid w:val="00553DBB"/>
    <w:rsid w:val="00555DE9"/>
    <w:rsid w:val="005703D8"/>
    <w:rsid w:val="00570D48"/>
    <w:rsid w:val="00571EE0"/>
    <w:rsid w:val="005724E5"/>
    <w:rsid w:val="00576F49"/>
    <w:rsid w:val="00585FC5"/>
    <w:rsid w:val="00590D37"/>
    <w:rsid w:val="00596E9C"/>
    <w:rsid w:val="005A041C"/>
    <w:rsid w:val="005C037F"/>
    <w:rsid w:val="005C689C"/>
    <w:rsid w:val="005E3F4F"/>
    <w:rsid w:val="005F00B6"/>
    <w:rsid w:val="005F31F0"/>
    <w:rsid w:val="00606E9C"/>
    <w:rsid w:val="00617224"/>
    <w:rsid w:val="006300CA"/>
    <w:rsid w:val="00635781"/>
    <w:rsid w:val="00642205"/>
    <w:rsid w:val="00663360"/>
    <w:rsid w:val="00663BB6"/>
    <w:rsid w:val="00674550"/>
    <w:rsid w:val="006C1BD2"/>
    <w:rsid w:val="006C4DAB"/>
    <w:rsid w:val="006D2380"/>
    <w:rsid w:val="006F4597"/>
    <w:rsid w:val="00703AF6"/>
    <w:rsid w:val="00716211"/>
    <w:rsid w:val="007162B5"/>
    <w:rsid w:val="00756BD1"/>
    <w:rsid w:val="00756BEA"/>
    <w:rsid w:val="00761537"/>
    <w:rsid w:val="007619E7"/>
    <w:rsid w:val="007640E6"/>
    <w:rsid w:val="00772522"/>
    <w:rsid w:val="00774EAC"/>
    <w:rsid w:val="007806EB"/>
    <w:rsid w:val="0078771D"/>
    <w:rsid w:val="007B70F4"/>
    <w:rsid w:val="007D1202"/>
    <w:rsid w:val="007F28A7"/>
    <w:rsid w:val="007F292C"/>
    <w:rsid w:val="007F6258"/>
    <w:rsid w:val="008013A8"/>
    <w:rsid w:val="00815CEC"/>
    <w:rsid w:val="00817126"/>
    <w:rsid w:val="00822491"/>
    <w:rsid w:val="00831E49"/>
    <w:rsid w:val="00832990"/>
    <w:rsid w:val="008504AC"/>
    <w:rsid w:val="008533A8"/>
    <w:rsid w:val="0085484F"/>
    <w:rsid w:val="008548C1"/>
    <w:rsid w:val="00866DD2"/>
    <w:rsid w:val="00867B15"/>
    <w:rsid w:val="0089654F"/>
    <w:rsid w:val="008A1CDF"/>
    <w:rsid w:val="008A371F"/>
    <w:rsid w:val="008B459D"/>
    <w:rsid w:val="008B475E"/>
    <w:rsid w:val="008B5754"/>
    <w:rsid w:val="008C0E88"/>
    <w:rsid w:val="008E6467"/>
    <w:rsid w:val="00914EAB"/>
    <w:rsid w:val="00914FB9"/>
    <w:rsid w:val="0092295A"/>
    <w:rsid w:val="00930A5B"/>
    <w:rsid w:val="009346CA"/>
    <w:rsid w:val="00935690"/>
    <w:rsid w:val="009520B5"/>
    <w:rsid w:val="009547CC"/>
    <w:rsid w:val="00954EED"/>
    <w:rsid w:val="00964D3A"/>
    <w:rsid w:val="00967CE8"/>
    <w:rsid w:val="00971B92"/>
    <w:rsid w:val="009750FE"/>
    <w:rsid w:val="00981C48"/>
    <w:rsid w:val="009821BD"/>
    <w:rsid w:val="00983E72"/>
    <w:rsid w:val="0098453B"/>
    <w:rsid w:val="009A0B19"/>
    <w:rsid w:val="009B7903"/>
    <w:rsid w:val="009C2FD2"/>
    <w:rsid w:val="009C3B79"/>
    <w:rsid w:val="009C552F"/>
    <w:rsid w:val="009C5ED3"/>
    <w:rsid w:val="009D64EA"/>
    <w:rsid w:val="009D6E2E"/>
    <w:rsid w:val="009D7A51"/>
    <w:rsid w:val="009E1E7F"/>
    <w:rsid w:val="009E4F43"/>
    <w:rsid w:val="009F15A9"/>
    <w:rsid w:val="00A007A0"/>
    <w:rsid w:val="00A11B80"/>
    <w:rsid w:val="00A20EC9"/>
    <w:rsid w:val="00A223AA"/>
    <w:rsid w:val="00A32826"/>
    <w:rsid w:val="00A40D9E"/>
    <w:rsid w:val="00A45DAB"/>
    <w:rsid w:val="00A51AC9"/>
    <w:rsid w:val="00A54E65"/>
    <w:rsid w:val="00A60F0E"/>
    <w:rsid w:val="00A67272"/>
    <w:rsid w:val="00A67403"/>
    <w:rsid w:val="00A701BE"/>
    <w:rsid w:val="00A71688"/>
    <w:rsid w:val="00A729EF"/>
    <w:rsid w:val="00A73A43"/>
    <w:rsid w:val="00A757F9"/>
    <w:rsid w:val="00A83CB2"/>
    <w:rsid w:val="00A86B89"/>
    <w:rsid w:val="00A9009E"/>
    <w:rsid w:val="00A93708"/>
    <w:rsid w:val="00A94924"/>
    <w:rsid w:val="00A956C5"/>
    <w:rsid w:val="00AC4F83"/>
    <w:rsid w:val="00B02597"/>
    <w:rsid w:val="00B06FB8"/>
    <w:rsid w:val="00B24692"/>
    <w:rsid w:val="00B248AA"/>
    <w:rsid w:val="00B322F5"/>
    <w:rsid w:val="00B3685B"/>
    <w:rsid w:val="00B370B8"/>
    <w:rsid w:val="00B407ED"/>
    <w:rsid w:val="00B54486"/>
    <w:rsid w:val="00B66B6A"/>
    <w:rsid w:val="00B7065D"/>
    <w:rsid w:val="00B942EB"/>
    <w:rsid w:val="00B943E8"/>
    <w:rsid w:val="00B97028"/>
    <w:rsid w:val="00BB66D3"/>
    <w:rsid w:val="00BD5EDD"/>
    <w:rsid w:val="00BE16B4"/>
    <w:rsid w:val="00C02621"/>
    <w:rsid w:val="00C03220"/>
    <w:rsid w:val="00C368A6"/>
    <w:rsid w:val="00C40517"/>
    <w:rsid w:val="00C705DC"/>
    <w:rsid w:val="00C73E1A"/>
    <w:rsid w:val="00C76A54"/>
    <w:rsid w:val="00C7790E"/>
    <w:rsid w:val="00C8041D"/>
    <w:rsid w:val="00C81261"/>
    <w:rsid w:val="00C81E83"/>
    <w:rsid w:val="00C94A63"/>
    <w:rsid w:val="00CA3647"/>
    <w:rsid w:val="00CA379D"/>
    <w:rsid w:val="00CA51B0"/>
    <w:rsid w:val="00CB5A8B"/>
    <w:rsid w:val="00CD0A8C"/>
    <w:rsid w:val="00CD305D"/>
    <w:rsid w:val="00CD4ED6"/>
    <w:rsid w:val="00CD5A9E"/>
    <w:rsid w:val="00CE4FFF"/>
    <w:rsid w:val="00CF1ED2"/>
    <w:rsid w:val="00D065F2"/>
    <w:rsid w:val="00D07FB0"/>
    <w:rsid w:val="00D107C8"/>
    <w:rsid w:val="00D13573"/>
    <w:rsid w:val="00D15610"/>
    <w:rsid w:val="00D22486"/>
    <w:rsid w:val="00D23364"/>
    <w:rsid w:val="00D32E8E"/>
    <w:rsid w:val="00D34DC5"/>
    <w:rsid w:val="00D522CE"/>
    <w:rsid w:val="00D81F77"/>
    <w:rsid w:val="00D92E0D"/>
    <w:rsid w:val="00D97FA0"/>
    <w:rsid w:val="00DA302C"/>
    <w:rsid w:val="00DA37FE"/>
    <w:rsid w:val="00DA3910"/>
    <w:rsid w:val="00DC270E"/>
    <w:rsid w:val="00DD00CC"/>
    <w:rsid w:val="00DD2D89"/>
    <w:rsid w:val="00DD342A"/>
    <w:rsid w:val="00DE1D78"/>
    <w:rsid w:val="00E060BC"/>
    <w:rsid w:val="00E16D61"/>
    <w:rsid w:val="00E1737E"/>
    <w:rsid w:val="00E30B39"/>
    <w:rsid w:val="00E42A3B"/>
    <w:rsid w:val="00E43047"/>
    <w:rsid w:val="00E4519A"/>
    <w:rsid w:val="00E50785"/>
    <w:rsid w:val="00E50E13"/>
    <w:rsid w:val="00E510CE"/>
    <w:rsid w:val="00E61F77"/>
    <w:rsid w:val="00E62E98"/>
    <w:rsid w:val="00E86814"/>
    <w:rsid w:val="00E93CE3"/>
    <w:rsid w:val="00EA230B"/>
    <w:rsid w:val="00EB226F"/>
    <w:rsid w:val="00EB54F8"/>
    <w:rsid w:val="00ED376D"/>
    <w:rsid w:val="00ED733E"/>
    <w:rsid w:val="00EE0C42"/>
    <w:rsid w:val="00EE4493"/>
    <w:rsid w:val="00EF0219"/>
    <w:rsid w:val="00EF1672"/>
    <w:rsid w:val="00EF60BD"/>
    <w:rsid w:val="00F04458"/>
    <w:rsid w:val="00F04627"/>
    <w:rsid w:val="00F05DC4"/>
    <w:rsid w:val="00F12DD8"/>
    <w:rsid w:val="00F267F2"/>
    <w:rsid w:val="00F27CE4"/>
    <w:rsid w:val="00F42EAB"/>
    <w:rsid w:val="00F56F1B"/>
    <w:rsid w:val="00F60217"/>
    <w:rsid w:val="00F657B1"/>
    <w:rsid w:val="00F7780C"/>
    <w:rsid w:val="00F8188E"/>
    <w:rsid w:val="00F8413A"/>
    <w:rsid w:val="00F95AD9"/>
    <w:rsid w:val="00FA3A94"/>
    <w:rsid w:val="00FB1858"/>
    <w:rsid w:val="00FB743A"/>
    <w:rsid w:val="00FB7F5E"/>
    <w:rsid w:val="00FC102C"/>
    <w:rsid w:val="00FE3108"/>
    <w:rsid w:val="00FE6A64"/>
    <w:rsid w:val="00FE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place"/>
  <w:shapeDefaults>
    <o:shapedefaults v:ext="edit" spidmax="3074">
      <v:stroke weight="1.5pt"/>
    </o:shapedefaults>
    <o:shapelayout v:ext="edit">
      <o:idmap v:ext="edit" data="2"/>
    </o:shapelayout>
  </w:shapeDefaults>
  <w:decimalSymbol w:val="."/>
  <w:listSeparator w:val=","/>
  <w14:docId w14:val="75017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2EB"/>
    <w:rPr>
      <w:rFonts w:ascii="Arial" w:hAnsi="Arial"/>
    </w:rPr>
  </w:style>
  <w:style w:type="paragraph" w:styleId="Heading1">
    <w:name w:val="heading 1"/>
    <w:basedOn w:val="Normal"/>
    <w:next w:val="Normal"/>
    <w:qFormat/>
    <w:rsid w:val="00B942EB"/>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B942EB"/>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B942EB"/>
    <w:pPr>
      <w:tabs>
        <w:tab w:val="clear" w:pos="3226"/>
        <w:tab w:val="left" w:pos="3222"/>
      </w:tabs>
      <w:ind w:left="3222" w:right="-18"/>
      <w:outlineLvl w:val="2"/>
    </w:pPr>
    <w:rPr>
      <w:b w:val="0"/>
    </w:rPr>
  </w:style>
  <w:style w:type="paragraph" w:styleId="Heading4">
    <w:name w:val="heading 4"/>
    <w:basedOn w:val="Normal"/>
    <w:next w:val="Normal"/>
    <w:qFormat/>
    <w:rsid w:val="00B942EB"/>
    <w:pPr>
      <w:keepNext/>
      <w:spacing w:before="800"/>
      <w:jc w:val="center"/>
      <w:outlineLvl w:val="3"/>
    </w:pPr>
    <w:rPr>
      <w:b/>
      <w:sz w:val="12"/>
    </w:rPr>
  </w:style>
  <w:style w:type="paragraph" w:styleId="Heading5">
    <w:name w:val="heading 5"/>
    <w:basedOn w:val="Normal"/>
    <w:next w:val="Normal"/>
    <w:qFormat/>
    <w:rsid w:val="00B942EB"/>
    <w:pPr>
      <w:keepNext/>
      <w:widowControl w:val="0"/>
      <w:jc w:val="center"/>
      <w:outlineLvl w:val="4"/>
    </w:pPr>
    <w:rPr>
      <w:b/>
      <w:sz w:val="24"/>
    </w:rPr>
  </w:style>
  <w:style w:type="paragraph" w:styleId="Heading6">
    <w:name w:val="heading 6"/>
    <w:basedOn w:val="Normal"/>
    <w:next w:val="Normal"/>
    <w:qFormat/>
    <w:rsid w:val="00B942EB"/>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B942EB"/>
    <w:pPr>
      <w:keepNext/>
      <w:outlineLvl w:val="6"/>
    </w:pPr>
    <w:rPr>
      <w:rFonts w:ascii="Times New Roman" w:hAnsi="Times New Roman"/>
      <w:b/>
      <w:sz w:val="22"/>
    </w:rPr>
  </w:style>
  <w:style w:type="paragraph" w:styleId="Heading8">
    <w:name w:val="heading 8"/>
    <w:basedOn w:val="Normal"/>
    <w:next w:val="Normal"/>
    <w:qFormat/>
    <w:rsid w:val="006C4DAB"/>
    <w:pPr>
      <w:spacing w:before="240" w:after="60"/>
      <w:outlineLvl w:val="7"/>
    </w:pPr>
    <w:rPr>
      <w:rFonts w:ascii="Times New Roman" w:hAnsi="Times New Roman"/>
      <w:i/>
      <w:iCs/>
      <w:sz w:val="24"/>
      <w:szCs w:val="24"/>
    </w:rPr>
  </w:style>
  <w:style w:type="paragraph" w:styleId="Heading9">
    <w:name w:val="heading 9"/>
    <w:basedOn w:val="Normal"/>
    <w:next w:val="Normal"/>
    <w:qFormat/>
    <w:rsid w:val="006C4DAB"/>
    <w:pPr>
      <w:spacing w:before="240" w:after="60"/>
      <w:outlineLvl w:val="8"/>
    </w:pPr>
    <w:rPr>
      <w:rFonts w:cs="Arial"/>
      <w:sz w:val="22"/>
      <w:szCs w:val="22"/>
    </w:rPr>
  </w:style>
  <w:style w:type="character" w:default="1" w:styleId="DefaultParagraphFont">
    <w:name w:val="Default Paragraph Font"/>
    <w:semiHidden/>
    <w:rsid w:val="00B942EB"/>
  </w:style>
  <w:style w:type="table" w:default="1" w:styleId="TableNormal">
    <w:name w:val="Normal Table"/>
    <w:semiHidden/>
    <w:rsid w:val="00B942EB"/>
    <w:tblPr>
      <w:tblInd w:w="0" w:type="dxa"/>
      <w:tblCellMar>
        <w:top w:w="0" w:type="dxa"/>
        <w:left w:w="108" w:type="dxa"/>
        <w:bottom w:w="0" w:type="dxa"/>
        <w:right w:w="108" w:type="dxa"/>
      </w:tblCellMar>
    </w:tblPr>
  </w:style>
  <w:style w:type="numbering" w:default="1" w:styleId="NoList">
    <w:name w:val="No List"/>
    <w:semiHidden/>
    <w:rsid w:val="00B942EB"/>
  </w:style>
  <w:style w:type="paragraph" w:customStyle="1" w:styleId="chead2">
    <w:name w:val="chead2"/>
    <w:link w:val="chead2Char"/>
    <w:rsid w:val="00B24692"/>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B942EB"/>
  </w:style>
  <w:style w:type="paragraph" w:customStyle="1" w:styleId="chead1">
    <w:name w:val="chead1"/>
    <w:basedOn w:val="ctext"/>
    <w:rsid w:val="00B942EB"/>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B942EB"/>
    <w:pPr>
      <w:spacing w:before="120" w:after="60"/>
      <w:ind w:left="360"/>
    </w:pPr>
    <w:rPr>
      <w:sz w:val="21"/>
    </w:rPr>
  </w:style>
  <w:style w:type="paragraph" w:customStyle="1" w:styleId="CLETTERED">
    <w:name w:val="CLETTERED"/>
    <w:basedOn w:val="Normal"/>
    <w:link w:val="CLETTEREDCharChar"/>
    <w:rsid w:val="00B942EB"/>
    <w:pPr>
      <w:spacing w:before="100" w:after="100"/>
      <w:ind w:left="900" w:hanging="540"/>
    </w:pPr>
    <w:rPr>
      <w:rFonts w:eastAsia="MS Mincho"/>
      <w:sz w:val="21"/>
    </w:rPr>
  </w:style>
  <w:style w:type="paragraph" w:customStyle="1" w:styleId="cletteredindent">
    <w:name w:val="cletteredindent"/>
    <w:basedOn w:val="Normal"/>
    <w:rsid w:val="00B942EB"/>
    <w:pPr>
      <w:widowControl w:val="0"/>
      <w:spacing w:before="40" w:after="40" w:line="240" w:lineRule="atLeast"/>
      <w:ind w:left="1980" w:hanging="540"/>
    </w:pPr>
    <w:rPr>
      <w:sz w:val="21"/>
    </w:rPr>
  </w:style>
  <w:style w:type="paragraph" w:customStyle="1" w:styleId="cnumbered">
    <w:name w:val="cnumbered"/>
    <w:basedOn w:val="Normal"/>
    <w:link w:val="cnumberedCharChar"/>
    <w:rsid w:val="00B942EB"/>
    <w:pPr>
      <w:spacing w:before="60" w:after="60"/>
      <w:ind w:left="1440" w:hanging="533"/>
    </w:pPr>
    <w:rPr>
      <w:rFonts w:eastAsia="MS Mincho"/>
      <w:sz w:val="21"/>
    </w:rPr>
  </w:style>
  <w:style w:type="paragraph" w:customStyle="1" w:styleId="cAddress">
    <w:name w:val="cAddress"/>
    <w:basedOn w:val="ctext"/>
    <w:rsid w:val="00B942EB"/>
    <w:pPr>
      <w:ind w:left="2160"/>
    </w:pPr>
  </w:style>
  <w:style w:type="paragraph" w:customStyle="1" w:styleId="cDate1">
    <w:name w:val="cDate1"/>
    <w:basedOn w:val="Normal"/>
    <w:rsid w:val="00B942EB"/>
    <w:pPr>
      <w:spacing w:before="60" w:after="60"/>
      <w:jc w:val="right"/>
    </w:pPr>
    <w:rPr>
      <w:b/>
      <w:color w:val="FFFFFF"/>
    </w:rPr>
  </w:style>
  <w:style w:type="paragraph" w:customStyle="1" w:styleId="cDate2">
    <w:name w:val="cDate2"/>
    <w:link w:val="cDate2Char"/>
    <w:rsid w:val="00B24692"/>
    <w:pPr>
      <w:spacing w:before="240" w:after="60"/>
      <w:jc w:val="right"/>
    </w:pPr>
    <w:rPr>
      <w:rFonts w:ascii="Arial" w:hAnsi="Arial"/>
      <w:b/>
      <w:color w:val="1D73D6"/>
      <w:sz w:val="18"/>
    </w:rPr>
  </w:style>
  <w:style w:type="paragraph" w:styleId="TOC1">
    <w:name w:val="toc 1"/>
    <w:basedOn w:val="Normal"/>
    <w:next w:val="Normal"/>
    <w:autoRedefine/>
    <w:uiPriority w:val="39"/>
    <w:rsid w:val="00B24692"/>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B942EB"/>
    <w:pPr>
      <w:shd w:val="clear" w:color="auto" w:fill="FFFFFF"/>
      <w:tabs>
        <w:tab w:val="left" w:pos="1440"/>
      </w:tabs>
      <w:ind w:left="1440" w:hanging="1080"/>
    </w:pPr>
    <w:rPr>
      <w:rFonts w:eastAsia="MS Mincho"/>
      <w:noProof/>
      <w:sz w:val="21"/>
    </w:rPr>
  </w:style>
  <w:style w:type="character" w:styleId="Hyperlink">
    <w:name w:val="Hyperlink"/>
    <w:uiPriority w:val="99"/>
    <w:rsid w:val="00B942EB"/>
    <w:rPr>
      <w:rFonts w:ascii="Arial" w:hAnsi="Arial"/>
      <w:b/>
      <w:dstrike w:val="0"/>
      <w:color w:val="0000FF"/>
      <w:sz w:val="21"/>
      <w:u w:val="single"/>
      <w:vertAlign w:val="baseline"/>
    </w:rPr>
  </w:style>
  <w:style w:type="paragraph" w:customStyle="1" w:styleId="cTableText">
    <w:name w:val="cTableText"/>
    <w:link w:val="cTableTextChar"/>
    <w:rsid w:val="00B942EB"/>
    <w:pPr>
      <w:spacing w:before="60" w:after="60"/>
    </w:pPr>
    <w:rPr>
      <w:rFonts w:ascii="Arial" w:hAnsi="Arial"/>
      <w:sz w:val="21"/>
    </w:rPr>
  </w:style>
  <w:style w:type="character" w:styleId="FollowedHyperlink">
    <w:name w:val="FollowedHyperlink"/>
    <w:rsid w:val="00B942EB"/>
    <w:rPr>
      <w:rFonts w:ascii="Arial" w:hAnsi="Arial"/>
      <w:b/>
      <w:dstrike w:val="0"/>
      <w:color w:val="800080"/>
      <w:sz w:val="21"/>
      <w:u w:val="single"/>
      <w:vertAlign w:val="baseline"/>
    </w:rPr>
  </w:style>
  <w:style w:type="paragraph" w:styleId="TOC3">
    <w:name w:val="toc 3"/>
    <w:basedOn w:val="Normal"/>
    <w:next w:val="Normal"/>
    <w:autoRedefine/>
    <w:semiHidden/>
    <w:rsid w:val="00B942EB"/>
    <w:pPr>
      <w:ind w:left="400"/>
    </w:pPr>
  </w:style>
  <w:style w:type="paragraph" w:customStyle="1" w:styleId="ctableheading">
    <w:name w:val="ctableheading"/>
    <w:basedOn w:val="cTableText"/>
    <w:rsid w:val="00B942EB"/>
    <w:rPr>
      <w:b/>
      <w:bCs/>
      <w:color w:val="000000"/>
    </w:rPr>
  </w:style>
  <w:style w:type="paragraph" w:styleId="Header">
    <w:name w:val="header"/>
    <w:aliases w:val="PM HEADER"/>
    <w:basedOn w:val="Normal"/>
    <w:rsid w:val="00B942EB"/>
    <w:pPr>
      <w:pBdr>
        <w:bottom w:val="single" w:sz="4" w:space="1" w:color="000000"/>
      </w:pBdr>
      <w:tabs>
        <w:tab w:val="right" w:pos="9720"/>
      </w:tabs>
      <w:ind w:left="-360" w:right="-360"/>
    </w:pPr>
    <w:rPr>
      <w:b/>
      <w:snapToGrid w:val="0"/>
      <w:sz w:val="18"/>
    </w:rPr>
  </w:style>
  <w:style w:type="paragraph" w:styleId="Footer">
    <w:name w:val="footer"/>
    <w:basedOn w:val="Normal"/>
    <w:rsid w:val="00B942EB"/>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rsid w:val="00B942EB"/>
    <w:pPr>
      <w:spacing w:before="0" w:after="0"/>
    </w:pPr>
  </w:style>
  <w:style w:type="paragraph" w:styleId="BalloonText">
    <w:name w:val="Balloon Text"/>
    <w:basedOn w:val="Normal"/>
    <w:semiHidden/>
    <w:rsid w:val="006C4DAB"/>
    <w:rPr>
      <w:rFonts w:ascii="Tahoma" w:hAnsi="Tahoma" w:cs="Tahoma"/>
      <w:sz w:val="16"/>
      <w:szCs w:val="16"/>
    </w:rPr>
  </w:style>
  <w:style w:type="paragraph" w:styleId="Caption">
    <w:name w:val="caption"/>
    <w:basedOn w:val="Normal"/>
    <w:next w:val="Normal"/>
    <w:qFormat/>
    <w:rsid w:val="006C4DAB"/>
    <w:pPr>
      <w:spacing w:before="120" w:after="120"/>
    </w:pPr>
    <w:rPr>
      <w:b/>
      <w:bCs/>
    </w:rPr>
  </w:style>
  <w:style w:type="paragraph" w:styleId="CommentText">
    <w:name w:val="annotation text"/>
    <w:basedOn w:val="Normal"/>
    <w:semiHidden/>
    <w:rsid w:val="006C4DAB"/>
  </w:style>
  <w:style w:type="paragraph" w:styleId="CommentSubject">
    <w:name w:val="annotation subject"/>
    <w:basedOn w:val="CommentText"/>
    <w:next w:val="CommentText"/>
    <w:semiHidden/>
    <w:rsid w:val="006C4DAB"/>
    <w:rPr>
      <w:b/>
      <w:bCs/>
    </w:rPr>
  </w:style>
  <w:style w:type="paragraph" w:styleId="DocumentMap">
    <w:name w:val="Document Map"/>
    <w:basedOn w:val="Normal"/>
    <w:semiHidden/>
    <w:rsid w:val="006C4DAB"/>
    <w:pPr>
      <w:shd w:val="clear" w:color="auto" w:fill="000080"/>
    </w:pPr>
    <w:rPr>
      <w:rFonts w:ascii="Tahoma" w:hAnsi="Tahoma" w:cs="Tahoma"/>
    </w:rPr>
  </w:style>
  <w:style w:type="paragraph" w:styleId="EndnoteText">
    <w:name w:val="endnote text"/>
    <w:basedOn w:val="Normal"/>
    <w:semiHidden/>
    <w:rsid w:val="006C4DAB"/>
  </w:style>
  <w:style w:type="paragraph" w:styleId="FootnoteText">
    <w:name w:val="footnote text"/>
    <w:basedOn w:val="Normal"/>
    <w:semiHidden/>
    <w:rsid w:val="006C4DAB"/>
  </w:style>
  <w:style w:type="paragraph" w:styleId="Index1">
    <w:name w:val="index 1"/>
    <w:basedOn w:val="Normal"/>
    <w:next w:val="Normal"/>
    <w:autoRedefine/>
    <w:semiHidden/>
    <w:rsid w:val="006C4DAB"/>
    <w:pPr>
      <w:ind w:left="200" w:hanging="200"/>
    </w:pPr>
  </w:style>
  <w:style w:type="paragraph" w:styleId="Index2">
    <w:name w:val="index 2"/>
    <w:basedOn w:val="Normal"/>
    <w:next w:val="Normal"/>
    <w:autoRedefine/>
    <w:semiHidden/>
    <w:rsid w:val="006C4DAB"/>
    <w:pPr>
      <w:ind w:left="400" w:hanging="200"/>
    </w:pPr>
  </w:style>
  <w:style w:type="paragraph" w:styleId="Index3">
    <w:name w:val="index 3"/>
    <w:basedOn w:val="Normal"/>
    <w:next w:val="Normal"/>
    <w:autoRedefine/>
    <w:semiHidden/>
    <w:rsid w:val="006C4DAB"/>
    <w:pPr>
      <w:ind w:left="600" w:hanging="200"/>
    </w:pPr>
  </w:style>
  <w:style w:type="paragraph" w:styleId="Index4">
    <w:name w:val="index 4"/>
    <w:basedOn w:val="Normal"/>
    <w:next w:val="Normal"/>
    <w:autoRedefine/>
    <w:semiHidden/>
    <w:rsid w:val="006C4DAB"/>
    <w:pPr>
      <w:ind w:left="800" w:hanging="200"/>
    </w:pPr>
  </w:style>
  <w:style w:type="paragraph" w:styleId="Index5">
    <w:name w:val="index 5"/>
    <w:basedOn w:val="Normal"/>
    <w:next w:val="Normal"/>
    <w:autoRedefine/>
    <w:semiHidden/>
    <w:rsid w:val="006C4DAB"/>
    <w:pPr>
      <w:ind w:left="1000" w:hanging="200"/>
    </w:pPr>
  </w:style>
  <w:style w:type="paragraph" w:styleId="Index6">
    <w:name w:val="index 6"/>
    <w:basedOn w:val="Normal"/>
    <w:next w:val="Normal"/>
    <w:autoRedefine/>
    <w:semiHidden/>
    <w:rsid w:val="006C4DAB"/>
    <w:pPr>
      <w:ind w:left="1200" w:hanging="200"/>
    </w:pPr>
  </w:style>
  <w:style w:type="paragraph" w:styleId="Index7">
    <w:name w:val="index 7"/>
    <w:basedOn w:val="Normal"/>
    <w:next w:val="Normal"/>
    <w:autoRedefine/>
    <w:semiHidden/>
    <w:rsid w:val="006C4DAB"/>
    <w:pPr>
      <w:ind w:left="1400" w:hanging="200"/>
    </w:pPr>
  </w:style>
  <w:style w:type="paragraph" w:styleId="Index8">
    <w:name w:val="index 8"/>
    <w:basedOn w:val="Normal"/>
    <w:next w:val="Normal"/>
    <w:autoRedefine/>
    <w:semiHidden/>
    <w:rsid w:val="006C4DAB"/>
    <w:pPr>
      <w:ind w:left="1600" w:hanging="200"/>
    </w:pPr>
  </w:style>
  <w:style w:type="paragraph" w:styleId="Index9">
    <w:name w:val="index 9"/>
    <w:basedOn w:val="Normal"/>
    <w:next w:val="Normal"/>
    <w:autoRedefine/>
    <w:semiHidden/>
    <w:rsid w:val="006C4DAB"/>
    <w:pPr>
      <w:ind w:left="1800" w:hanging="200"/>
    </w:pPr>
  </w:style>
  <w:style w:type="paragraph" w:styleId="IndexHeading">
    <w:name w:val="index heading"/>
    <w:basedOn w:val="Normal"/>
    <w:next w:val="Index1"/>
    <w:semiHidden/>
    <w:rsid w:val="006C4DAB"/>
    <w:rPr>
      <w:rFonts w:cs="Arial"/>
      <w:b/>
      <w:bCs/>
    </w:rPr>
  </w:style>
  <w:style w:type="paragraph" w:styleId="MacroText">
    <w:name w:val="macro"/>
    <w:semiHidden/>
    <w:rsid w:val="006C4D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6C4DAB"/>
    <w:pPr>
      <w:ind w:left="200" w:hanging="200"/>
    </w:pPr>
  </w:style>
  <w:style w:type="paragraph" w:styleId="TableofFigures">
    <w:name w:val="table of figures"/>
    <w:basedOn w:val="Normal"/>
    <w:next w:val="Normal"/>
    <w:semiHidden/>
    <w:rsid w:val="006C4DAB"/>
    <w:pPr>
      <w:ind w:left="400" w:hanging="400"/>
    </w:pPr>
  </w:style>
  <w:style w:type="paragraph" w:styleId="TOAHeading">
    <w:name w:val="toa heading"/>
    <w:basedOn w:val="Normal"/>
    <w:next w:val="Normal"/>
    <w:semiHidden/>
    <w:rsid w:val="006C4DAB"/>
    <w:pPr>
      <w:spacing w:before="120"/>
    </w:pPr>
    <w:rPr>
      <w:rFonts w:cs="Arial"/>
      <w:b/>
      <w:bCs/>
      <w:sz w:val="24"/>
      <w:szCs w:val="24"/>
    </w:rPr>
  </w:style>
  <w:style w:type="paragraph" w:styleId="TOC4">
    <w:name w:val="toc 4"/>
    <w:basedOn w:val="Normal"/>
    <w:next w:val="Normal"/>
    <w:autoRedefine/>
    <w:semiHidden/>
    <w:rsid w:val="00B942EB"/>
    <w:pPr>
      <w:ind w:left="600"/>
    </w:pPr>
  </w:style>
  <w:style w:type="paragraph" w:styleId="TOC5">
    <w:name w:val="toc 5"/>
    <w:basedOn w:val="Normal"/>
    <w:next w:val="Normal"/>
    <w:autoRedefine/>
    <w:semiHidden/>
    <w:rsid w:val="00B942EB"/>
    <w:pPr>
      <w:ind w:left="800"/>
    </w:pPr>
  </w:style>
  <w:style w:type="paragraph" w:styleId="TOC6">
    <w:name w:val="toc 6"/>
    <w:basedOn w:val="Normal"/>
    <w:next w:val="Normal"/>
    <w:autoRedefine/>
    <w:semiHidden/>
    <w:rsid w:val="00B942EB"/>
    <w:pPr>
      <w:ind w:left="1000"/>
    </w:pPr>
  </w:style>
  <w:style w:type="paragraph" w:styleId="TOC7">
    <w:name w:val="toc 7"/>
    <w:basedOn w:val="Normal"/>
    <w:next w:val="Normal"/>
    <w:autoRedefine/>
    <w:semiHidden/>
    <w:rsid w:val="00B942EB"/>
    <w:pPr>
      <w:ind w:left="1200"/>
    </w:pPr>
  </w:style>
  <w:style w:type="paragraph" w:styleId="TOC8">
    <w:name w:val="toc 8"/>
    <w:basedOn w:val="Normal"/>
    <w:next w:val="Normal"/>
    <w:autoRedefine/>
    <w:semiHidden/>
    <w:rsid w:val="00B942EB"/>
    <w:pPr>
      <w:ind w:left="1400"/>
    </w:pPr>
  </w:style>
  <w:style w:type="paragraph" w:styleId="TOC9">
    <w:name w:val="toc 9"/>
    <w:basedOn w:val="Normal"/>
    <w:next w:val="Normal"/>
    <w:autoRedefine/>
    <w:semiHidden/>
    <w:rsid w:val="00B942EB"/>
    <w:pPr>
      <w:ind w:left="1600"/>
    </w:pPr>
  </w:style>
  <w:style w:type="paragraph" w:customStyle="1" w:styleId="Note">
    <w:name w:val="Note"/>
    <w:basedOn w:val="ctext"/>
    <w:rsid w:val="00B942EB"/>
    <w:pPr>
      <w:tabs>
        <w:tab w:val="left" w:pos="1710"/>
      </w:tabs>
      <w:ind w:left="1710" w:hanging="810"/>
    </w:pPr>
    <w:rPr>
      <w:rFonts w:eastAsia="MS Mincho"/>
      <w:b/>
      <w:bCs/>
    </w:rPr>
  </w:style>
  <w:style w:type="character" w:customStyle="1" w:styleId="ctextChar">
    <w:name w:val="ctext Char"/>
    <w:link w:val="ctext"/>
    <w:rsid w:val="00241E13"/>
    <w:rPr>
      <w:rFonts w:ascii="Arial" w:hAnsi="Arial"/>
      <w:sz w:val="21"/>
      <w:lang w:val="en-US" w:eastAsia="en-US" w:bidi="ar-SA"/>
    </w:rPr>
  </w:style>
  <w:style w:type="character" w:customStyle="1" w:styleId="CLETTEREDCharChar">
    <w:name w:val="CLETTERED Char Char"/>
    <w:link w:val="CLETTERED"/>
    <w:rsid w:val="005F00B6"/>
    <w:rPr>
      <w:rFonts w:ascii="Arial" w:eastAsia="MS Mincho" w:hAnsi="Arial"/>
      <w:sz w:val="21"/>
      <w:lang w:val="en-US" w:eastAsia="en-US" w:bidi="ar-SA"/>
    </w:rPr>
  </w:style>
  <w:style w:type="character" w:customStyle="1" w:styleId="cnumberedCharChar">
    <w:name w:val="cnumbered Char Char"/>
    <w:link w:val="cnumbered"/>
    <w:rsid w:val="005F00B6"/>
    <w:rPr>
      <w:rFonts w:ascii="Arial" w:eastAsia="MS Mincho" w:hAnsi="Arial"/>
      <w:sz w:val="21"/>
      <w:lang w:val="en-US" w:eastAsia="en-US" w:bidi="ar-SA"/>
    </w:rPr>
  </w:style>
  <w:style w:type="character" w:customStyle="1" w:styleId="CLETTEREDChar">
    <w:name w:val="CLETTERED Char"/>
    <w:rsid w:val="00553DBB"/>
    <w:rPr>
      <w:rFonts w:ascii="Arial" w:eastAsia="MS Mincho" w:hAnsi="Arial"/>
      <w:sz w:val="21"/>
      <w:lang w:val="en-US" w:eastAsia="en-US" w:bidi="ar-SA"/>
    </w:rPr>
  </w:style>
  <w:style w:type="character" w:customStyle="1" w:styleId="cnumberedChar">
    <w:name w:val="cnumbered Char"/>
    <w:rsid w:val="007F28A7"/>
    <w:rPr>
      <w:rFonts w:ascii="Arial" w:eastAsia="MS Mincho" w:hAnsi="Arial"/>
      <w:sz w:val="21"/>
      <w:lang w:val="en-US" w:eastAsia="en-US" w:bidi="ar-SA"/>
    </w:rPr>
  </w:style>
  <w:style w:type="table" w:styleId="TableGrid">
    <w:name w:val="Table Grid"/>
    <w:basedOn w:val="TableNormal"/>
    <w:rsid w:val="0057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bleTextChar">
    <w:name w:val="cTableText Char"/>
    <w:link w:val="cTableText"/>
    <w:rsid w:val="00A73A43"/>
    <w:rPr>
      <w:rFonts w:ascii="Arial" w:hAnsi="Arial"/>
      <w:sz w:val="21"/>
    </w:rPr>
  </w:style>
  <w:style w:type="character" w:customStyle="1" w:styleId="chead2Char">
    <w:name w:val="chead2 Char"/>
    <w:link w:val="chead2"/>
    <w:locked/>
    <w:rsid w:val="001D4394"/>
    <w:rPr>
      <w:rFonts w:ascii="Arial" w:hAnsi="Arial"/>
      <w:b/>
      <w:color w:val="1D73D6"/>
    </w:rPr>
  </w:style>
  <w:style w:type="character" w:customStyle="1" w:styleId="cDate2Char">
    <w:name w:val="cDate2 Char"/>
    <w:link w:val="cDate2"/>
    <w:rsid w:val="001D4394"/>
    <w:rPr>
      <w:rFonts w:ascii="Arial" w:hAnsi="Arial"/>
      <w:b/>
      <w:color w:val="1D73D6"/>
      <w:sz w:val="18"/>
    </w:rPr>
  </w:style>
  <w:style w:type="character" w:styleId="UnresolvedMention">
    <w:name w:val="Unresolved Mention"/>
    <w:uiPriority w:val="99"/>
    <w:semiHidden/>
    <w:unhideWhenUsed/>
    <w:rsid w:val="00BE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99012">
      <w:bodyDiv w:val="1"/>
      <w:marLeft w:val="0"/>
      <w:marRight w:val="0"/>
      <w:marTop w:val="0"/>
      <w:marBottom w:val="0"/>
      <w:divBdr>
        <w:top w:val="none" w:sz="0" w:space="0" w:color="auto"/>
        <w:left w:val="none" w:sz="0" w:space="0" w:color="auto"/>
        <w:bottom w:val="none" w:sz="0" w:space="0" w:color="auto"/>
        <w:right w:val="none" w:sz="0" w:space="0" w:color="auto"/>
      </w:divBdr>
    </w:div>
    <w:div w:id="381909624">
      <w:bodyDiv w:val="1"/>
      <w:marLeft w:val="0"/>
      <w:marRight w:val="0"/>
      <w:marTop w:val="0"/>
      <w:marBottom w:val="0"/>
      <w:divBdr>
        <w:top w:val="none" w:sz="0" w:space="0" w:color="auto"/>
        <w:left w:val="none" w:sz="0" w:space="0" w:color="auto"/>
        <w:bottom w:val="none" w:sz="0" w:space="0" w:color="auto"/>
        <w:right w:val="none" w:sz="0" w:space="0" w:color="auto"/>
      </w:divBdr>
    </w:div>
    <w:div w:id="386758426">
      <w:bodyDiv w:val="1"/>
      <w:marLeft w:val="0"/>
      <w:marRight w:val="0"/>
      <w:marTop w:val="0"/>
      <w:marBottom w:val="0"/>
      <w:divBdr>
        <w:top w:val="none" w:sz="0" w:space="0" w:color="auto"/>
        <w:left w:val="none" w:sz="0" w:space="0" w:color="auto"/>
        <w:bottom w:val="none" w:sz="0" w:space="0" w:color="auto"/>
        <w:right w:val="none" w:sz="0" w:space="0" w:color="auto"/>
      </w:divBdr>
    </w:div>
    <w:div w:id="565841764">
      <w:bodyDiv w:val="1"/>
      <w:marLeft w:val="0"/>
      <w:marRight w:val="0"/>
      <w:marTop w:val="0"/>
      <w:marBottom w:val="0"/>
      <w:divBdr>
        <w:top w:val="none" w:sz="0" w:space="0" w:color="auto"/>
        <w:left w:val="none" w:sz="0" w:space="0" w:color="auto"/>
        <w:bottom w:val="none" w:sz="0" w:space="0" w:color="auto"/>
        <w:right w:val="none" w:sz="0" w:space="0" w:color="auto"/>
      </w:divBdr>
    </w:div>
    <w:div w:id="683286466">
      <w:bodyDiv w:val="1"/>
      <w:marLeft w:val="0"/>
      <w:marRight w:val="0"/>
      <w:marTop w:val="0"/>
      <w:marBottom w:val="0"/>
      <w:divBdr>
        <w:top w:val="none" w:sz="0" w:space="0" w:color="auto"/>
        <w:left w:val="none" w:sz="0" w:space="0" w:color="auto"/>
        <w:bottom w:val="none" w:sz="0" w:space="0" w:color="auto"/>
        <w:right w:val="none" w:sz="0" w:space="0" w:color="auto"/>
      </w:divBdr>
    </w:div>
    <w:div w:id="807630057">
      <w:bodyDiv w:val="1"/>
      <w:marLeft w:val="0"/>
      <w:marRight w:val="0"/>
      <w:marTop w:val="0"/>
      <w:marBottom w:val="0"/>
      <w:divBdr>
        <w:top w:val="none" w:sz="0" w:space="0" w:color="auto"/>
        <w:left w:val="none" w:sz="0" w:space="0" w:color="auto"/>
        <w:bottom w:val="none" w:sz="0" w:space="0" w:color="auto"/>
        <w:right w:val="none" w:sz="0" w:space="0" w:color="auto"/>
      </w:divBdr>
    </w:div>
    <w:div w:id="861936258">
      <w:bodyDiv w:val="1"/>
      <w:marLeft w:val="0"/>
      <w:marRight w:val="0"/>
      <w:marTop w:val="0"/>
      <w:marBottom w:val="0"/>
      <w:divBdr>
        <w:top w:val="none" w:sz="0" w:space="0" w:color="auto"/>
        <w:left w:val="none" w:sz="0" w:space="0" w:color="auto"/>
        <w:bottom w:val="none" w:sz="0" w:space="0" w:color="auto"/>
        <w:right w:val="none" w:sz="0" w:space="0" w:color="auto"/>
      </w:divBdr>
    </w:div>
    <w:div w:id="1380863874">
      <w:bodyDiv w:val="1"/>
      <w:marLeft w:val="0"/>
      <w:marRight w:val="0"/>
      <w:marTop w:val="0"/>
      <w:marBottom w:val="0"/>
      <w:divBdr>
        <w:top w:val="none" w:sz="0" w:space="0" w:color="auto"/>
        <w:left w:val="none" w:sz="0" w:space="0" w:color="auto"/>
        <w:bottom w:val="none" w:sz="0" w:space="0" w:color="auto"/>
        <w:right w:val="none" w:sz="0" w:space="0" w:color="auto"/>
      </w:divBdr>
    </w:div>
    <w:div w:id="1576696986">
      <w:bodyDiv w:val="1"/>
      <w:marLeft w:val="0"/>
      <w:marRight w:val="0"/>
      <w:marTop w:val="0"/>
      <w:marBottom w:val="0"/>
      <w:divBdr>
        <w:top w:val="none" w:sz="0" w:space="0" w:color="auto"/>
        <w:left w:val="none" w:sz="0" w:space="0" w:color="auto"/>
        <w:bottom w:val="none" w:sz="0" w:space="0" w:color="auto"/>
        <w:right w:val="none" w:sz="0" w:space="0" w:color="auto"/>
      </w:divBdr>
    </w:div>
    <w:div w:id="1590382246">
      <w:bodyDiv w:val="1"/>
      <w:marLeft w:val="0"/>
      <w:marRight w:val="0"/>
      <w:marTop w:val="0"/>
      <w:marBottom w:val="0"/>
      <w:divBdr>
        <w:top w:val="none" w:sz="0" w:space="0" w:color="auto"/>
        <w:left w:val="none" w:sz="0" w:space="0" w:color="auto"/>
        <w:bottom w:val="none" w:sz="0" w:space="0" w:color="auto"/>
        <w:right w:val="none" w:sz="0" w:space="0" w:color="auto"/>
      </w:divBdr>
    </w:div>
    <w:div w:id="1602838572">
      <w:bodyDiv w:val="1"/>
      <w:marLeft w:val="0"/>
      <w:marRight w:val="0"/>
      <w:marTop w:val="0"/>
      <w:marBottom w:val="0"/>
      <w:divBdr>
        <w:top w:val="none" w:sz="0" w:space="0" w:color="auto"/>
        <w:left w:val="none" w:sz="0" w:space="0" w:color="auto"/>
        <w:bottom w:val="none" w:sz="0" w:space="0" w:color="auto"/>
        <w:right w:val="none" w:sz="0" w:space="0" w:color="auto"/>
      </w:divBdr>
    </w:div>
    <w:div w:id="1661077609">
      <w:bodyDiv w:val="1"/>
      <w:marLeft w:val="0"/>
      <w:marRight w:val="0"/>
      <w:marTop w:val="0"/>
      <w:marBottom w:val="0"/>
      <w:divBdr>
        <w:top w:val="none" w:sz="0" w:space="0" w:color="auto"/>
        <w:left w:val="none" w:sz="0" w:space="0" w:color="auto"/>
        <w:bottom w:val="none" w:sz="0" w:space="0" w:color="auto"/>
        <w:right w:val="none" w:sz="0" w:space="0" w:color="auto"/>
      </w:divBdr>
    </w:div>
    <w:div w:id="1750031497">
      <w:bodyDiv w:val="1"/>
      <w:marLeft w:val="0"/>
      <w:marRight w:val="0"/>
      <w:marTop w:val="0"/>
      <w:marBottom w:val="0"/>
      <w:divBdr>
        <w:top w:val="none" w:sz="0" w:space="0" w:color="auto"/>
        <w:left w:val="none" w:sz="0" w:space="0" w:color="auto"/>
        <w:bottom w:val="none" w:sz="0" w:space="0" w:color="auto"/>
        <w:right w:val="none" w:sz="0" w:space="0" w:color="auto"/>
      </w:divBdr>
    </w:div>
    <w:div w:id="1760830274">
      <w:bodyDiv w:val="1"/>
      <w:marLeft w:val="0"/>
      <w:marRight w:val="0"/>
      <w:marTop w:val="0"/>
      <w:marBottom w:val="0"/>
      <w:divBdr>
        <w:top w:val="none" w:sz="0" w:space="0" w:color="auto"/>
        <w:left w:val="none" w:sz="0" w:space="0" w:color="auto"/>
        <w:bottom w:val="none" w:sz="0" w:space="0" w:color="auto"/>
        <w:right w:val="none" w:sz="0" w:space="0" w:color="auto"/>
      </w:divBdr>
    </w:div>
    <w:div w:id="1872524415">
      <w:bodyDiv w:val="1"/>
      <w:marLeft w:val="0"/>
      <w:marRight w:val="0"/>
      <w:marTop w:val="0"/>
      <w:marBottom w:val="0"/>
      <w:divBdr>
        <w:top w:val="none" w:sz="0" w:space="0" w:color="auto"/>
        <w:left w:val="none" w:sz="0" w:space="0" w:color="auto"/>
        <w:bottom w:val="none" w:sz="0" w:space="0" w:color="auto"/>
        <w:right w:val="none" w:sz="0" w:space="0" w:color="auto"/>
      </w:divBdr>
    </w:div>
    <w:div w:id="19656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MedAsst.docx" TargetMode="External"/><Relationship Id="rId18" Type="http://schemas.openxmlformats.org/officeDocument/2006/relationships/hyperlink" Target="https://humanservices.arkansas.gov/wp-content/uploads/SampleCMS-1500.pdf" TargetMode="External"/><Relationship Id="rId26" Type="http://schemas.openxmlformats.org/officeDocument/2006/relationships/hyperlink" Target="https://humanservices.arkansas.gov/wp-content/uploads/EsstlHlthBenefitProcCodes.docx" TargetMode="External"/><Relationship Id="rId39" Type="http://schemas.openxmlformats.org/officeDocument/2006/relationships/hyperlink" Target="https://humanservices.arkansas.gov/wp-content/uploads/SampleCMS-1500.pdf" TargetMode="External"/><Relationship Id="rId21" Type="http://schemas.openxmlformats.org/officeDocument/2006/relationships/hyperlink" Target="https://humanservices.arkansas.gov/wp-content/uploads/170301_VISUAL_214.200_92065.xls" TargetMode="External"/><Relationship Id="rId34" Type="http://schemas.openxmlformats.org/officeDocument/2006/relationships/hyperlink" Target="https://humanservices.arkansas.gov/wp-content/uploads/AFMC.docx" TargetMode="External"/><Relationship Id="rId42" Type="http://schemas.openxmlformats.org/officeDocument/2006/relationships/hyperlink" Target="https://humanservices.arkansas.gov/wp-content/uploads/Optical.docx" TargetMode="External"/><Relationship Id="rId47" Type="http://schemas.openxmlformats.org/officeDocument/2006/relationships/hyperlink" Target="https://humanservices.arkansas.gov/wp-content/uploads/Claims.docx" TargetMode="External"/><Relationship Id="rId50" Type="http://schemas.openxmlformats.org/officeDocument/2006/relationships/hyperlink" Target="https://humanservices.arkansas.gov/wp-content/uploads/VISUAL_ProcCodes.xls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SampleCMS-1500.pdf" TargetMode="External"/><Relationship Id="rId29" Type="http://schemas.openxmlformats.org/officeDocument/2006/relationships/hyperlink" Target="https://humanservices.arkansas.gov/wp-content/uploads/Section_V.docx" TargetMode="External"/><Relationship Id="rId11" Type="http://schemas.openxmlformats.org/officeDocument/2006/relationships/hyperlink" Target="https://humanservices.arkansas.gov/wp-content/uploads/ProviderEnrol.docx" TargetMode="External"/><Relationship Id="rId24" Type="http://schemas.openxmlformats.org/officeDocument/2006/relationships/hyperlink" Target="https://humanservices.arkansas.gov/wp-content/uploads/VISUAL_ProcCodes.xlsx" TargetMode="External"/><Relationship Id="rId32" Type="http://schemas.openxmlformats.org/officeDocument/2006/relationships/hyperlink" Target="https://humanservices.arkansas.gov/wp-content/uploads/UAMSPharmEBRx.docx" TargetMode="External"/><Relationship Id="rId37" Type="http://schemas.openxmlformats.org/officeDocument/2006/relationships/hyperlink" Target="https://humanservices.arkansas.gov/wp-content/uploads/DMSMedAsst.docx" TargetMode="External"/><Relationship Id="rId40" Type="http://schemas.openxmlformats.org/officeDocument/2006/relationships/hyperlink" Target="https://humanservices.arkansas.gov/wp-content/uploads/Claims.docx" TargetMode="External"/><Relationship Id="rId45" Type="http://schemas.openxmlformats.org/officeDocument/2006/relationships/hyperlink" Target="https://humanservices.arkansas.gov/wp-content/uploads/VISUAL_ProcCodes.xlsx"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umanservices.arkansas.gov/wp-content/uploads/ApplicationPacket.pdf" TargetMode="External"/><Relationship Id="rId19" Type="http://schemas.openxmlformats.org/officeDocument/2006/relationships/hyperlink" Target="https://humanservices.arkansas.gov/wp-content/uploads/DHSAccountsReceivable.docx" TargetMode="External"/><Relationship Id="rId31" Type="http://schemas.openxmlformats.org/officeDocument/2006/relationships/hyperlink" Target="https://humanservices.arkansas.gov/wp-content/uploads/Pharmacy.docx" TargetMode="External"/><Relationship Id="rId44" Type="http://schemas.openxmlformats.org/officeDocument/2006/relationships/hyperlink" Target="https://humanservices.arkansas.gov/wp-content/uploads/VISUAL_ProcCodes.xlsx"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DMSMedAsst.docx" TargetMode="External"/><Relationship Id="rId22" Type="http://schemas.openxmlformats.org/officeDocument/2006/relationships/hyperlink" Target="https://humanservices.arkansas.gov/wp-content/uploads/170301_VISUAL_214.200_92060.xls" TargetMode="External"/><Relationship Id="rId27" Type="http://schemas.openxmlformats.org/officeDocument/2006/relationships/hyperlink" Target="https://humanservices.arkansas.gov/wp-content/uploads/AFMC.docx" TargetMode="External"/><Relationship Id="rId30" Type="http://schemas.openxmlformats.org/officeDocument/2006/relationships/hyperlink" Target="https://ar.primetherapeutics.com/provider-documents" TargetMode="External"/><Relationship Id="rId35" Type="http://schemas.openxmlformats.org/officeDocument/2006/relationships/hyperlink" Target="https://humanservices.arkansas.gov/divisions-shared-services/medical-services/helpful-information-for-providers/fee-schedules/" TargetMode="External"/><Relationship Id="rId43" Type="http://schemas.openxmlformats.org/officeDocument/2006/relationships/hyperlink" Target="https://humanservices.arkansas.gov/wp-content/uploads/VISUAL_ProcCodes.xlsx" TargetMode="External"/><Relationship Id="rId48" Type="http://schemas.openxmlformats.org/officeDocument/2006/relationships/hyperlink" Target="http://www.nucc.org"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humanservices.arkansas.gov/wp-content/uploads/VendorPerformReport.docx" TargetMode="External"/><Relationship Id="rId17" Type="http://schemas.openxmlformats.org/officeDocument/2006/relationships/hyperlink" Target="https://humanservices.arkansas.gov/wp-content/uploads/DMS-0101.docx" TargetMode="External"/><Relationship Id="rId25" Type="http://schemas.openxmlformats.org/officeDocument/2006/relationships/hyperlink" Target="https://humanservices.arkansas.gov/wp-content/uploads/AFMC.docx" TargetMode="External"/><Relationship Id="rId33" Type="http://schemas.openxmlformats.org/officeDocument/2006/relationships/hyperlink" Target="https://www.cms.gov/Medicare-Medicaid-Coordination/Fraud-Prevention/FraudAbuseforProfs/TRP.html" TargetMode="External"/><Relationship Id="rId38" Type="http://schemas.openxmlformats.org/officeDocument/2006/relationships/hyperlink" Target="https://humanservices.arkansas.gov/wp-content/uploads/Claims.docx" TargetMode="External"/><Relationship Id="rId46" Type="http://schemas.openxmlformats.org/officeDocument/2006/relationships/hyperlink" Target="https://humanservices.arkansas.gov/wp-content/uploads/SampleCMS-1500.pdf" TargetMode="External"/><Relationship Id="rId20" Type="http://schemas.openxmlformats.org/officeDocument/2006/relationships/hyperlink" Target="https://humanservices.arkansas.gov/wp-content/uploads/DMSMedAsst.docx" TargetMode="External"/><Relationship Id="rId41" Type="http://schemas.openxmlformats.org/officeDocument/2006/relationships/hyperlink" Target="https://humanservices.arkansas.gov/wp-content/uploads/DMSMedAsst.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manservices.arkansas.gov/wp-content/uploads/CentralCHS.docx" TargetMode="External"/><Relationship Id="rId23" Type="http://schemas.openxmlformats.org/officeDocument/2006/relationships/hyperlink" Target="https://humanservices.arkansas.gov/wp-content/uploads/170301_VISUAL_214.200_96111.xls" TargetMode="External"/><Relationship Id="rId28" Type="http://schemas.openxmlformats.org/officeDocument/2006/relationships/hyperlink" Target="https://humanservices.arkansas.gov/wp-content/uploads/DMS-671.docx" TargetMode="External"/><Relationship Id="rId36" Type="http://schemas.openxmlformats.org/officeDocument/2006/relationships/hyperlink" Target="https://humanservices.arkansas.gov/wp-content/uploads/VISUAL_ProcCodes.xlsx" TargetMode="External"/><Relationship Id="rId49" Type="http://schemas.openxmlformats.org/officeDocument/2006/relationships/hyperlink" Target="http://www.n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1157F-F59B-4F73-AF6E-CA65E1B1E7FF}">
  <ds:schemaRefs>
    <ds:schemaRef ds:uri="http://schemas.microsoft.com/sharepoint/v3/contenttype/forms"/>
  </ds:schemaRefs>
</ds:datastoreItem>
</file>

<file path=customXml/itemProps2.xml><?xml version="1.0" encoding="utf-8"?>
<ds:datastoreItem xmlns:ds="http://schemas.openxmlformats.org/officeDocument/2006/customXml" ds:itemID="{9733C634-941C-4F19-A228-E9BD3EF17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60B42-F2F0-4B74-855C-8292E4F65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11121</Words>
  <Characters>63391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VISUAL Section II</vt:lpstr>
    </vt:vector>
  </TitlesOfParts>
  <LinksUpToDate>false</LinksUpToDate>
  <CharactersWithSpaces>74364</CharactersWithSpaces>
  <SharedDoc>false</SharedDoc>
  <HyperlinkBase/>
  <HLinks>
    <vt:vector size="630" baseType="variant">
      <vt:variant>
        <vt:i4>6291526</vt:i4>
      </vt:variant>
      <vt:variant>
        <vt:i4>315</vt:i4>
      </vt:variant>
      <vt:variant>
        <vt:i4>0</vt:i4>
      </vt:variant>
      <vt:variant>
        <vt:i4>5</vt:i4>
      </vt:variant>
      <vt:variant>
        <vt:lpwstr>https://humanservices.arkansas.gov/wp-content/uploads/VISUAL_ProcCodes.xlsx</vt:lpwstr>
      </vt:variant>
      <vt:variant>
        <vt:lpwstr/>
      </vt:variant>
      <vt:variant>
        <vt:i4>5570638</vt:i4>
      </vt:variant>
      <vt:variant>
        <vt:i4>312</vt:i4>
      </vt:variant>
      <vt:variant>
        <vt:i4>0</vt:i4>
      </vt:variant>
      <vt:variant>
        <vt:i4>5</vt:i4>
      </vt:variant>
      <vt:variant>
        <vt:lpwstr>http://www.nucc.org/</vt:lpwstr>
      </vt:variant>
      <vt:variant>
        <vt:lpwstr/>
      </vt:variant>
      <vt:variant>
        <vt:i4>5570638</vt:i4>
      </vt:variant>
      <vt:variant>
        <vt:i4>309</vt:i4>
      </vt:variant>
      <vt:variant>
        <vt:i4>0</vt:i4>
      </vt:variant>
      <vt:variant>
        <vt:i4>5</vt:i4>
      </vt:variant>
      <vt:variant>
        <vt:lpwstr>http://www.nucc.org/</vt:lpwstr>
      </vt:variant>
      <vt:variant>
        <vt:lpwstr/>
      </vt:variant>
      <vt:variant>
        <vt:i4>65546</vt:i4>
      </vt:variant>
      <vt:variant>
        <vt:i4>306</vt:i4>
      </vt:variant>
      <vt:variant>
        <vt:i4>0</vt:i4>
      </vt:variant>
      <vt:variant>
        <vt:i4>5</vt:i4>
      </vt:variant>
      <vt:variant>
        <vt:lpwstr>https://humanservices.arkansas.gov/wp-content/uploads/Claims.doc</vt:lpwstr>
      </vt:variant>
      <vt:variant>
        <vt:lpwstr/>
      </vt:variant>
      <vt:variant>
        <vt:i4>5701645</vt:i4>
      </vt:variant>
      <vt:variant>
        <vt:i4>303</vt:i4>
      </vt:variant>
      <vt:variant>
        <vt:i4>0</vt:i4>
      </vt:variant>
      <vt:variant>
        <vt:i4>5</vt:i4>
      </vt:variant>
      <vt:variant>
        <vt:lpwstr>https://humanservices.arkansas.gov/wp-content/uploads/SampleCMS-1500.pdf</vt:lpwstr>
      </vt:variant>
      <vt:variant>
        <vt:lpwstr/>
      </vt:variant>
      <vt:variant>
        <vt:i4>6291526</vt:i4>
      </vt:variant>
      <vt:variant>
        <vt:i4>300</vt:i4>
      </vt:variant>
      <vt:variant>
        <vt:i4>0</vt:i4>
      </vt:variant>
      <vt:variant>
        <vt:i4>5</vt:i4>
      </vt:variant>
      <vt:variant>
        <vt:lpwstr>https://humanservices.arkansas.gov/wp-content/uploads/VISUAL_ProcCodes.xlsx</vt:lpwstr>
      </vt:variant>
      <vt:variant>
        <vt:lpwstr/>
      </vt:variant>
      <vt:variant>
        <vt:i4>6291526</vt:i4>
      </vt:variant>
      <vt:variant>
        <vt:i4>297</vt:i4>
      </vt:variant>
      <vt:variant>
        <vt:i4>0</vt:i4>
      </vt:variant>
      <vt:variant>
        <vt:i4>5</vt:i4>
      </vt:variant>
      <vt:variant>
        <vt:lpwstr>https://humanservices.arkansas.gov/wp-content/uploads/VISUAL_ProcCodes.xlsx</vt:lpwstr>
      </vt:variant>
      <vt:variant>
        <vt:lpwstr/>
      </vt:variant>
      <vt:variant>
        <vt:i4>6291526</vt:i4>
      </vt:variant>
      <vt:variant>
        <vt:i4>294</vt:i4>
      </vt:variant>
      <vt:variant>
        <vt:i4>0</vt:i4>
      </vt:variant>
      <vt:variant>
        <vt:i4>5</vt:i4>
      </vt:variant>
      <vt:variant>
        <vt:lpwstr>https://humanservices.arkansas.gov/wp-content/uploads/VISUAL_ProcCodes.xlsx</vt:lpwstr>
      </vt:variant>
      <vt:variant>
        <vt:lpwstr/>
      </vt:variant>
      <vt:variant>
        <vt:i4>6291526</vt:i4>
      </vt:variant>
      <vt:variant>
        <vt:i4>291</vt:i4>
      </vt:variant>
      <vt:variant>
        <vt:i4>0</vt:i4>
      </vt:variant>
      <vt:variant>
        <vt:i4>5</vt:i4>
      </vt:variant>
      <vt:variant>
        <vt:lpwstr>https://humanservices.arkansas.gov/wp-content/uploads/VISUAL_ProcCodes.xlsx</vt:lpwstr>
      </vt:variant>
      <vt:variant>
        <vt:lpwstr/>
      </vt:variant>
      <vt:variant>
        <vt:i4>4784212</vt:i4>
      </vt:variant>
      <vt:variant>
        <vt:i4>288</vt:i4>
      </vt:variant>
      <vt:variant>
        <vt:i4>0</vt:i4>
      </vt:variant>
      <vt:variant>
        <vt:i4>5</vt:i4>
      </vt:variant>
      <vt:variant>
        <vt:lpwstr>https://humanservices.arkansas.gov/wp-content/uploads/Optical.doc</vt:lpwstr>
      </vt:variant>
      <vt:variant>
        <vt:lpwstr/>
      </vt:variant>
      <vt:variant>
        <vt:i4>1310725</vt:i4>
      </vt:variant>
      <vt:variant>
        <vt:i4>285</vt:i4>
      </vt:variant>
      <vt:variant>
        <vt:i4>0</vt:i4>
      </vt:variant>
      <vt:variant>
        <vt:i4>5</vt:i4>
      </vt:variant>
      <vt:variant>
        <vt:lpwstr>https://humanservices.arkansas.gov/wp-content/uploads/DMSMedAsst.doc</vt:lpwstr>
      </vt:variant>
      <vt:variant>
        <vt:lpwstr/>
      </vt:variant>
      <vt:variant>
        <vt:i4>65546</vt:i4>
      </vt:variant>
      <vt:variant>
        <vt:i4>282</vt:i4>
      </vt:variant>
      <vt:variant>
        <vt:i4>0</vt:i4>
      </vt:variant>
      <vt:variant>
        <vt:i4>5</vt:i4>
      </vt:variant>
      <vt:variant>
        <vt:lpwstr>https://humanservices.arkansas.gov/wp-content/uploads/Claims.doc</vt:lpwstr>
      </vt:variant>
      <vt:variant>
        <vt:lpwstr/>
      </vt:variant>
      <vt:variant>
        <vt:i4>5701645</vt:i4>
      </vt:variant>
      <vt:variant>
        <vt:i4>279</vt:i4>
      </vt:variant>
      <vt:variant>
        <vt:i4>0</vt:i4>
      </vt:variant>
      <vt:variant>
        <vt:i4>5</vt:i4>
      </vt:variant>
      <vt:variant>
        <vt:lpwstr>https://humanservices.arkansas.gov/wp-content/uploads/SampleCMS-1500.pdf</vt:lpwstr>
      </vt:variant>
      <vt:variant>
        <vt:lpwstr/>
      </vt:variant>
      <vt:variant>
        <vt:i4>65546</vt:i4>
      </vt:variant>
      <vt:variant>
        <vt:i4>276</vt:i4>
      </vt:variant>
      <vt:variant>
        <vt:i4>0</vt:i4>
      </vt:variant>
      <vt:variant>
        <vt:i4>5</vt:i4>
      </vt:variant>
      <vt:variant>
        <vt:lpwstr>https://humanservices.arkansas.gov/wp-content/uploads/Claims.doc</vt:lpwstr>
      </vt:variant>
      <vt:variant>
        <vt:lpwstr/>
      </vt:variant>
      <vt:variant>
        <vt:i4>1310725</vt:i4>
      </vt:variant>
      <vt:variant>
        <vt:i4>273</vt:i4>
      </vt:variant>
      <vt:variant>
        <vt:i4>0</vt:i4>
      </vt:variant>
      <vt:variant>
        <vt:i4>5</vt:i4>
      </vt:variant>
      <vt:variant>
        <vt:lpwstr>https://humanservices.arkansas.gov/wp-content/uploads/DMSMedAsst.doc</vt:lpwstr>
      </vt:variant>
      <vt:variant>
        <vt:lpwstr/>
      </vt:variant>
      <vt:variant>
        <vt:i4>6291526</vt:i4>
      </vt:variant>
      <vt:variant>
        <vt:i4>270</vt:i4>
      </vt:variant>
      <vt:variant>
        <vt:i4>0</vt:i4>
      </vt:variant>
      <vt:variant>
        <vt:i4>5</vt:i4>
      </vt:variant>
      <vt:variant>
        <vt:lpwstr>https://humanservices.arkansas.gov/wp-content/uploads/VISUAL_ProcCodes.xlsx</vt:lpwstr>
      </vt:variant>
      <vt:variant>
        <vt:lpwstr/>
      </vt:variant>
      <vt:variant>
        <vt:i4>6291526</vt:i4>
      </vt:variant>
      <vt:variant>
        <vt:i4>267</vt:i4>
      </vt:variant>
      <vt:variant>
        <vt:i4>0</vt:i4>
      </vt:variant>
      <vt:variant>
        <vt:i4>5</vt:i4>
      </vt:variant>
      <vt:variant>
        <vt:lpwstr>https://humanservices.arkansas.gov/wp-content/uploads/VISUAL_ProcCodes.xlsx</vt:lpwstr>
      </vt:variant>
      <vt:variant>
        <vt:lpwstr/>
      </vt:variant>
      <vt:variant>
        <vt:i4>3997812</vt:i4>
      </vt:variant>
      <vt:variant>
        <vt:i4>264</vt:i4>
      </vt:variant>
      <vt:variant>
        <vt:i4>0</vt:i4>
      </vt:variant>
      <vt:variant>
        <vt:i4>5</vt:i4>
      </vt:variant>
      <vt:variant>
        <vt:lpwstr>https://humanservices.arkansas.gov/divisions-shared-services/medical-services/helpful-information-for-providers/fee-schedules/</vt:lpwstr>
      </vt:variant>
      <vt:variant>
        <vt:lpwstr/>
      </vt:variant>
      <vt:variant>
        <vt:i4>7471209</vt:i4>
      </vt:variant>
      <vt:variant>
        <vt:i4>261</vt:i4>
      </vt:variant>
      <vt:variant>
        <vt:i4>0</vt:i4>
      </vt:variant>
      <vt:variant>
        <vt:i4>5</vt:i4>
      </vt:variant>
      <vt:variant>
        <vt:lpwstr>https://humanservices.arkansas.gov/wp-content/uploads/AFMC.doc</vt:lpwstr>
      </vt:variant>
      <vt:variant>
        <vt:lpwstr/>
      </vt:variant>
      <vt:variant>
        <vt:i4>1310725</vt:i4>
      </vt:variant>
      <vt:variant>
        <vt:i4>258</vt:i4>
      </vt:variant>
      <vt:variant>
        <vt:i4>0</vt:i4>
      </vt:variant>
      <vt:variant>
        <vt:i4>5</vt:i4>
      </vt:variant>
      <vt:variant>
        <vt:lpwstr>https://humanservices.arkansas.gov/wp-content/uploads/DMSMedAsst.doc</vt:lpwstr>
      </vt:variant>
      <vt:variant>
        <vt:lpwstr/>
      </vt:variant>
      <vt:variant>
        <vt:i4>2883709</vt:i4>
      </vt:variant>
      <vt:variant>
        <vt:i4>255</vt:i4>
      </vt:variant>
      <vt:variant>
        <vt:i4>0</vt:i4>
      </vt:variant>
      <vt:variant>
        <vt:i4>5</vt:i4>
      </vt:variant>
      <vt:variant>
        <vt:lpwstr>https://www.cms.gov/Medicare-Medicaid-Coordination/Fraud-Prevention/FraudAbuseforProfs/TRP.html</vt:lpwstr>
      </vt:variant>
      <vt:variant>
        <vt:lpwstr/>
      </vt:variant>
      <vt:variant>
        <vt:i4>3014718</vt:i4>
      </vt:variant>
      <vt:variant>
        <vt:i4>252</vt:i4>
      </vt:variant>
      <vt:variant>
        <vt:i4>0</vt:i4>
      </vt:variant>
      <vt:variant>
        <vt:i4>5</vt:i4>
      </vt:variant>
      <vt:variant>
        <vt:lpwstr>https://humanservices.arkansas.gov/wp-content/uploads/UAMSPharmEBRx.doc</vt:lpwstr>
      </vt:variant>
      <vt:variant>
        <vt:lpwstr/>
      </vt:variant>
      <vt:variant>
        <vt:i4>7667834</vt:i4>
      </vt:variant>
      <vt:variant>
        <vt:i4>249</vt:i4>
      </vt:variant>
      <vt:variant>
        <vt:i4>0</vt:i4>
      </vt:variant>
      <vt:variant>
        <vt:i4>5</vt:i4>
      </vt:variant>
      <vt:variant>
        <vt:lpwstr>https://humanservices.arkansas.gov/wp-content/uploads/Pharmacy.doc</vt:lpwstr>
      </vt:variant>
      <vt:variant>
        <vt:lpwstr/>
      </vt:variant>
      <vt:variant>
        <vt:i4>2162794</vt:i4>
      </vt:variant>
      <vt:variant>
        <vt:i4>246</vt:i4>
      </vt:variant>
      <vt:variant>
        <vt:i4>0</vt:i4>
      </vt:variant>
      <vt:variant>
        <vt:i4>5</vt:i4>
      </vt:variant>
      <vt:variant>
        <vt:lpwstr>https://ar.primetherapeutics.com/provider-documents</vt:lpwstr>
      </vt:variant>
      <vt:variant>
        <vt:lpwstr/>
      </vt:variant>
      <vt:variant>
        <vt:i4>1048609</vt:i4>
      </vt:variant>
      <vt:variant>
        <vt:i4>243</vt:i4>
      </vt:variant>
      <vt:variant>
        <vt:i4>0</vt:i4>
      </vt:variant>
      <vt:variant>
        <vt:i4>5</vt:i4>
      </vt:variant>
      <vt:variant>
        <vt:lpwstr>https://humanservices.arkansas.gov/wp-content/uploads/Section_V.doc</vt:lpwstr>
      </vt:variant>
      <vt:variant>
        <vt:lpwstr/>
      </vt:variant>
      <vt:variant>
        <vt:i4>4587600</vt:i4>
      </vt:variant>
      <vt:variant>
        <vt:i4>240</vt:i4>
      </vt:variant>
      <vt:variant>
        <vt:i4>0</vt:i4>
      </vt:variant>
      <vt:variant>
        <vt:i4>5</vt:i4>
      </vt:variant>
      <vt:variant>
        <vt:lpwstr>https://humanservices.arkansas.gov/wp-content/uploads/DMS-671.doc</vt:lpwstr>
      </vt:variant>
      <vt:variant>
        <vt:lpwstr/>
      </vt:variant>
      <vt:variant>
        <vt:i4>7471209</vt:i4>
      </vt:variant>
      <vt:variant>
        <vt:i4>237</vt:i4>
      </vt:variant>
      <vt:variant>
        <vt:i4>0</vt:i4>
      </vt:variant>
      <vt:variant>
        <vt:i4>5</vt:i4>
      </vt:variant>
      <vt:variant>
        <vt:lpwstr>https://humanservices.arkansas.gov/wp-content/uploads/AFMC.doc</vt:lpwstr>
      </vt:variant>
      <vt:variant>
        <vt:lpwstr/>
      </vt:variant>
      <vt:variant>
        <vt:i4>3080252</vt:i4>
      </vt:variant>
      <vt:variant>
        <vt:i4>234</vt:i4>
      </vt:variant>
      <vt:variant>
        <vt:i4>0</vt:i4>
      </vt:variant>
      <vt:variant>
        <vt:i4>5</vt:i4>
      </vt:variant>
      <vt:variant>
        <vt:lpwstr>https://humanservices.arkansas.gov/wp-content/uploads/EsstlHlthBenefitProcCodes.doc</vt:lpwstr>
      </vt:variant>
      <vt:variant>
        <vt:lpwstr/>
      </vt:variant>
      <vt:variant>
        <vt:i4>7471209</vt:i4>
      </vt:variant>
      <vt:variant>
        <vt:i4>231</vt:i4>
      </vt:variant>
      <vt:variant>
        <vt:i4>0</vt:i4>
      </vt:variant>
      <vt:variant>
        <vt:i4>5</vt:i4>
      </vt:variant>
      <vt:variant>
        <vt:lpwstr>https://humanservices.arkansas.gov/wp-content/uploads/AFMC.doc</vt:lpwstr>
      </vt:variant>
      <vt:variant>
        <vt:lpwstr/>
      </vt:variant>
      <vt:variant>
        <vt:i4>6291526</vt:i4>
      </vt:variant>
      <vt:variant>
        <vt:i4>228</vt:i4>
      </vt:variant>
      <vt:variant>
        <vt:i4>0</vt:i4>
      </vt:variant>
      <vt:variant>
        <vt:i4>5</vt:i4>
      </vt:variant>
      <vt:variant>
        <vt:lpwstr>https://humanservices.arkansas.gov/wp-content/uploads/VISUAL_ProcCodes.xlsx</vt:lpwstr>
      </vt:variant>
      <vt:variant>
        <vt:lpwstr/>
      </vt:variant>
      <vt:variant>
        <vt:i4>4915327</vt:i4>
      </vt:variant>
      <vt:variant>
        <vt:i4>225</vt:i4>
      </vt:variant>
      <vt:variant>
        <vt:i4>0</vt:i4>
      </vt:variant>
      <vt:variant>
        <vt:i4>5</vt:i4>
      </vt:variant>
      <vt:variant>
        <vt:lpwstr>https://humanservices.arkansas.gov/wp-content/uploads/170301_VISUAL_214.200_96111.xls</vt:lpwstr>
      </vt:variant>
      <vt:variant>
        <vt:lpwstr/>
      </vt:variant>
      <vt:variant>
        <vt:i4>4718719</vt:i4>
      </vt:variant>
      <vt:variant>
        <vt:i4>222</vt:i4>
      </vt:variant>
      <vt:variant>
        <vt:i4>0</vt:i4>
      </vt:variant>
      <vt:variant>
        <vt:i4>5</vt:i4>
      </vt:variant>
      <vt:variant>
        <vt:lpwstr>https://humanservices.arkansas.gov/wp-content/uploads/170301_VISUAL_214.200_92060.xls</vt:lpwstr>
      </vt:variant>
      <vt:variant>
        <vt:lpwstr/>
      </vt:variant>
      <vt:variant>
        <vt:i4>4718714</vt:i4>
      </vt:variant>
      <vt:variant>
        <vt:i4>219</vt:i4>
      </vt:variant>
      <vt:variant>
        <vt:i4>0</vt:i4>
      </vt:variant>
      <vt:variant>
        <vt:i4>5</vt:i4>
      </vt:variant>
      <vt:variant>
        <vt:lpwstr>https://humanservices.arkansas.gov/wp-content/uploads/170301_VISUAL_214.200_92065.xls</vt:lpwstr>
      </vt:variant>
      <vt:variant>
        <vt:lpwstr/>
      </vt:variant>
      <vt:variant>
        <vt:i4>1310725</vt:i4>
      </vt:variant>
      <vt:variant>
        <vt:i4>216</vt:i4>
      </vt:variant>
      <vt:variant>
        <vt:i4>0</vt:i4>
      </vt:variant>
      <vt:variant>
        <vt:i4>5</vt:i4>
      </vt:variant>
      <vt:variant>
        <vt:lpwstr>https://humanservices.arkansas.gov/wp-content/uploads/DMSMedAsst.doc</vt:lpwstr>
      </vt:variant>
      <vt:variant>
        <vt:lpwstr/>
      </vt:variant>
      <vt:variant>
        <vt:i4>3080247</vt:i4>
      </vt:variant>
      <vt:variant>
        <vt:i4>213</vt:i4>
      </vt:variant>
      <vt:variant>
        <vt:i4>0</vt:i4>
      </vt:variant>
      <vt:variant>
        <vt:i4>5</vt:i4>
      </vt:variant>
      <vt:variant>
        <vt:lpwstr>https://humanservices.arkansas.gov/wp-content/uploads/DHSAccountsReceivable.doc</vt:lpwstr>
      </vt:variant>
      <vt:variant>
        <vt:lpwstr/>
      </vt:variant>
      <vt:variant>
        <vt:i4>5701645</vt:i4>
      </vt:variant>
      <vt:variant>
        <vt:i4>210</vt:i4>
      </vt:variant>
      <vt:variant>
        <vt:i4>0</vt:i4>
      </vt:variant>
      <vt:variant>
        <vt:i4>5</vt:i4>
      </vt:variant>
      <vt:variant>
        <vt:lpwstr>https://humanservices.arkansas.gov/wp-content/uploads/SampleCMS-1500.pdf</vt:lpwstr>
      </vt:variant>
      <vt:variant>
        <vt:lpwstr/>
      </vt:variant>
      <vt:variant>
        <vt:i4>3604594</vt:i4>
      </vt:variant>
      <vt:variant>
        <vt:i4>207</vt:i4>
      </vt:variant>
      <vt:variant>
        <vt:i4>0</vt:i4>
      </vt:variant>
      <vt:variant>
        <vt:i4>5</vt:i4>
      </vt:variant>
      <vt:variant>
        <vt:lpwstr>https://humanservices.arkansas.gov/wp-content/uploads/DMS-0101.doc</vt:lpwstr>
      </vt:variant>
      <vt:variant>
        <vt:lpwstr/>
      </vt:variant>
      <vt:variant>
        <vt:i4>5701645</vt:i4>
      </vt:variant>
      <vt:variant>
        <vt:i4>204</vt:i4>
      </vt:variant>
      <vt:variant>
        <vt:i4>0</vt:i4>
      </vt:variant>
      <vt:variant>
        <vt:i4>5</vt:i4>
      </vt:variant>
      <vt:variant>
        <vt:lpwstr>https://humanservices.arkansas.gov/wp-content/uploads/SampleCMS-1500.pdf</vt:lpwstr>
      </vt:variant>
      <vt:variant>
        <vt:lpwstr/>
      </vt:variant>
      <vt:variant>
        <vt:i4>1507358</vt:i4>
      </vt:variant>
      <vt:variant>
        <vt:i4>201</vt:i4>
      </vt:variant>
      <vt:variant>
        <vt:i4>0</vt:i4>
      </vt:variant>
      <vt:variant>
        <vt:i4>5</vt:i4>
      </vt:variant>
      <vt:variant>
        <vt:lpwstr>https://humanservices.arkansas.gov/wp-content/uploads/CentralCHS.doc</vt:lpwstr>
      </vt:variant>
      <vt:variant>
        <vt:lpwstr/>
      </vt:variant>
      <vt:variant>
        <vt:i4>1310725</vt:i4>
      </vt:variant>
      <vt:variant>
        <vt:i4>198</vt:i4>
      </vt:variant>
      <vt:variant>
        <vt:i4>0</vt:i4>
      </vt:variant>
      <vt:variant>
        <vt:i4>5</vt:i4>
      </vt:variant>
      <vt:variant>
        <vt:lpwstr>https://humanservices.arkansas.gov/wp-content/uploads/DMSMedAsst.doc</vt:lpwstr>
      </vt:variant>
      <vt:variant>
        <vt:lpwstr/>
      </vt:variant>
      <vt:variant>
        <vt:i4>1310725</vt:i4>
      </vt:variant>
      <vt:variant>
        <vt:i4>195</vt:i4>
      </vt:variant>
      <vt:variant>
        <vt:i4>0</vt:i4>
      </vt:variant>
      <vt:variant>
        <vt:i4>5</vt:i4>
      </vt:variant>
      <vt:variant>
        <vt:lpwstr>https://humanservices.arkansas.gov/wp-content/uploads/DMSMedAsst.doc</vt:lpwstr>
      </vt:variant>
      <vt:variant>
        <vt:lpwstr/>
      </vt:variant>
      <vt:variant>
        <vt:i4>4390985</vt:i4>
      </vt:variant>
      <vt:variant>
        <vt:i4>192</vt:i4>
      </vt:variant>
      <vt:variant>
        <vt:i4>0</vt:i4>
      </vt:variant>
      <vt:variant>
        <vt:i4>5</vt:i4>
      </vt:variant>
      <vt:variant>
        <vt:lpwstr>https://humanservices.arkansas.gov/wp-content/uploads/VendorPerformReport.doc</vt:lpwstr>
      </vt:variant>
      <vt:variant>
        <vt:lpwstr/>
      </vt:variant>
      <vt:variant>
        <vt:i4>2228264</vt:i4>
      </vt:variant>
      <vt:variant>
        <vt:i4>189</vt:i4>
      </vt:variant>
      <vt:variant>
        <vt:i4>0</vt:i4>
      </vt:variant>
      <vt:variant>
        <vt:i4>5</vt:i4>
      </vt:variant>
      <vt:variant>
        <vt:lpwstr>https://humanservices.arkansas.gov/wp-content/uploads/ProviderEnrol.doc</vt:lpwstr>
      </vt:variant>
      <vt:variant>
        <vt:lpwstr/>
      </vt:variant>
      <vt:variant>
        <vt:i4>2621492</vt:i4>
      </vt:variant>
      <vt:variant>
        <vt:i4>186</vt:i4>
      </vt:variant>
      <vt:variant>
        <vt:i4>0</vt:i4>
      </vt:variant>
      <vt:variant>
        <vt:i4>5</vt:i4>
      </vt:variant>
      <vt:variant>
        <vt:lpwstr>https://humanservices.arkansas.gov/wp-content/uploads/ApplicationPacket.pdf</vt:lpwstr>
      </vt:variant>
      <vt:variant>
        <vt:lpwstr/>
      </vt:variant>
      <vt:variant>
        <vt:i4>1376315</vt:i4>
      </vt:variant>
      <vt:variant>
        <vt:i4>182</vt:i4>
      </vt:variant>
      <vt:variant>
        <vt:i4>0</vt:i4>
      </vt:variant>
      <vt:variant>
        <vt:i4>5</vt:i4>
      </vt:variant>
      <vt:variant>
        <vt:lpwstr/>
      </vt:variant>
      <vt:variant>
        <vt:lpwstr>_Toc141780317</vt:lpwstr>
      </vt:variant>
      <vt:variant>
        <vt:i4>1376315</vt:i4>
      </vt:variant>
      <vt:variant>
        <vt:i4>179</vt:i4>
      </vt:variant>
      <vt:variant>
        <vt:i4>0</vt:i4>
      </vt:variant>
      <vt:variant>
        <vt:i4>5</vt:i4>
      </vt:variant>
      <vt:variant>
        <vt:lpwstr/>
      </vt:variant>
      <vt:variant>
        <vt:lpwstr>_Toc141780316</vt:lpwstr>
      </vt:variant>
      <vt:variant>
        <vt:i4>1376315</vt:i4>
      </vt:variant>
      <vt:variant>
        <vt:i4>176</vt:i4>
      </vt:variant>
      <vt:variant>
        <vt:i4>0</vt:i4>
      </vt:variant>
      <vt:variant>
        <vt:i4>5</vt:i4>
      </vt:variant>
      <vt:variant>
        <vt:lpwstr/>
      </vt:variant>
      <vt:variant>
        <vt:lpwstr>_Toc141780315</vt:lpwstr>
      </vt:variant>
      <vt:variant>
        <vt:i4>1376315</vt:i4>
      </vt:variant>
      <vt:variant>
        <vt:i4>173</vt:i4>
      </vt:variant>
      <vt:variant>
        <vt:i4>0</vt:i4>
      </vt:variant>
      <vt:variant>
        <vt:i4>5</vt:i4>
      </vt:variant>
      <vt:variant>
        <vt:lpwstr/>
      </vt:variant>
      <vt:variant>
        <vt:lpwstr>_Toc141780314</vt:lpwstr>
      </vt:variant>
      <vt:variant>
        <vt:i4>1376315</vt:i4>
      </vt:variant>
      <vt:variant>
        <vt:i4>170</vt:i4>
      </vt:variant>
      <vt:variant>
        <vt:i4>0</vt:i4>
      </vt:variant>
      <vt:variant>
        <vt:i4>5</vt:i4>
      </vt:variant>
      <vt:variant>
        <vt:lpwstr/>
      </vt:variant>
      <vt:variant>
        <vt:lpwstr>_Toc141780313</vt:lpwstr>
      </vt:variant>
      <vt:variant>
        <vt:i4>1376315</vt:i4>
      </vt:variant>
      <vt:variant>
        <vt:i4>167</vt:i4>
      </vt:variant>
      <vt:variant>
        <vt:i4>0</vt:i4>
      </vt:variant>
      <vt:variant>
        <vt:i4>5</vt:i4>
      </vt:variant>
      <vt:variant>
        <vt:lpwstr/>
      </vt:variant>
      <vt:variant>
        <vt:lpwstr>_Toc141780312</vt:lpwstr>
      </vt:variant>
      <vt:variant>
        <vt:i4>1376315</vt:i4>
      </vt:variant>
      <vt:variant>
        <vt:i4>164</vt:i4>
      </vt:variant>
      <vt:variant>
        <vt:i4>0</vt:i4>
      </vt:variant>
      <vt:variant>
        <vt:i4>5</vt:i4>
      </vt:variant>
      <vt:variant>
        <vt:lpwstr/>
      </vt:variant>
      <vt:variant>
        <vt:lpwstr>_Toc141780311</vt:lpwstr>
      </vt:variant>
      <vt:variant>
        <vt:i4>1376315</vt:i4>
      </vt:variant>
      <vt:variant>
        <vt:i4>161</vt:i4>
      </vt:variant>
      <vt:variant>
        <vt:i4>0</vt:i4>
      </vt:variant>
      <vt:variant>
        <vt:i4>5</vt:i4>
      </vt:variant>
      <vt:variant>
        <vt:lpwstr/>
      </vt:variant>
      <vt:variant>
        <vt:lpwstr>_Toc141780310</vt:lpwstr>
      </vt:variant>
      <vt:variant>
        <vt:i4>1310779</vt:i4>
      </vt:variant>
      <vt:variant>
        <vt:i4>158</vt:i4>
      </vt:variant>
      <vt:variant>
        <vt:i4>0</vt:i4>
      </vt:variant>
      <vt:variant>
        <vt:i4>5</vt:i4>
      </vt:variant>
      <vt:variant>
        <vt:lpwstr/>
      </vt:variant>
      <vt:variant>
        <vt:lpwstr>_Toc141780309</vt:lpwstr>
      </vt:variant>
      <vt:variant>
        <vt:i4>1310779</vt:i4>
      </vt:variant>
      <vt:variant>
        <vt:i4>155</vt:i4>
      </vt:variant>
      <vt:variant>
        <vt:i4>0</vt:i4>
      </vt:variant>
      <vt:variant>
        <vt:i4>5</vt:i4>
      </vt:variant>
      <vt:variant>
        <vt:lpwstr/>
      </vt:variant>
      <vt:variant>
        <vt:lpwstr>_Toc141780308</vt:lpwstr>
      </vt:variant>
      <vt:variant>
        <vt:i4>1310779</vt:i4>
      </vt:variant>
      <vt:variant>
        <vt:i4>152</vt:i4>
      </vt:variant>
      <vt:variant>
        <vt:i4>0</vt:i4>
      </vt:variant>
      <vt:variant>
        <vt:i4>5</vt:i4>
      </vt:variant>
      <vt:variant>
        <vt:lpwstr/>
      </vt:variant>
      <vt:variant>
        <vt:lpwstr>_Toc141780307</vt:lpwstr>
      </vt:variant>
      <vt:variant>
        <vt:i4>1310779</vt:i4>
      </vt:variant>
      <vt:variant>
        <vt:i4>149</vt:i4>
      </vt:variant>
      <vt:variant>
        <vt:i4>0</vt:i4>
      </vt:variant>
      <vt:variant>
        <vt:i4>5</vt:i4>
      </vt:variant>
      <vt:variant>
        <vt:lpwstr/>
      </vt:variant>
      <vt:variant>
        <vt:lpwstr>_Toc141780306</vt:lpwstr>
      </vt:variant>
      <vt:variant>
        <vt:i4>1310779</vt:i4>
      </vt:variant>
      <vt:variant>
        <vt:i4>146</vt:i4>
      </vt:variant>
      <vt:variant>
        <vt:i4>0</vt:i4>
      </vt:variant>
      <vt:variant>
        <vt:i4>5</vt:i4>
      </vt:variant>
      <vt:variant>
        <vt:lpwstr/>
      </vt:variant>
      <vt:variant>
        <vt:lpwstr>_Toc141780305</vt:lpwstr>
      </vt:variant>
      <vt:variant>
        <vt:i4>1310779</vt:i4>
      </vt:variant>
      <vt:variant>
        <vt:i4>143</vt:i4>
      </vt:variant>
      <vt:variant>
        <vt:i4>0</vt:i4>
      </vt:variant>
      <vt:variant>
        <vt:i4>5</vt:i4>
      </vt:variant>
      <vt:variant>
        <vt:lpwstr/>
      </vt:variant>
      <vt:variant>
        <vt:lpwstr>_Toc141780304</vt:lpwstr>
      </vt:variant>
      <vt:variant>
        <vt:i4>1310779</vt:i4>
      </vt:variant>
      <vt:variant>
        <vt:i4>140</vt:i4>
      </vt:variant>
      <vt:variant>
        <vt:i4>0</vt:i4>
      </vt:variant>
      <vt:variant>
        <vt:i4>5</vt:i4>
      </vt:variant>
      <vt:variant>
        <vt:lpwstr/>
      </vt:variant>
      <vt:variant>
        <vt:lpwstr>_Toc141780303</vt:lpwstr>
      </vt:variant>
      <vt:variant>
        <vt:i4>1310779</vt:i4>
      </vt:variant>
      <vt:variant>
        <vt:i4>137</vt:i4>
      </vt:variant>
      <vt:variant>
        <vt:i4>0</vt:i4>
      </vt:variant>
      <vt:variant>
        <vt:i4>5</vt:i4>
      </vt:variant>
      <vt:variant>
        <vt:lpwstr/>
      </vt:variant>
      <vt:variant>
        <vt:lpwstr>_Toc141780302</vt:lpwstr>
      </vt:variant>
      <vt:variant>
        <vt:i4>1310779</vt:i4>
      </vt:variant>
      <vt:variant>
        <vt:i4>134</vt:i4>
      </vt:variant>
      <vt:variant>
        <vt:i4>0</vt:i4>
      </vt:variant>
      <vt:variant>
        <vt:i4>5</vt:i4>
      </vt:variant>
      <vt:variant>
        <vt:lpwstr/>
      </vt:variant>
      <vt:variant>
        <vt:lpwstr>_Toc141780301</vt:lpwstr>
      </vt:variant>
      <vt:variant>
        <vt:i4>1310779</vt:i4>
      </vt:variant>
      <vt:variant>
        <vt:i4>131</vt:i4>
      </vt:variant>
      <vt:variant>
        <vt:i4>0</vt:i4>
      </vt:variant>
      <vt:variant>
        <vt:i4>5</vt:i4>
      </vt:variant>
      <vt:variant>
        <vt:lpwstr/>
      </vt:variant>
      <vt:variant>
        <vt:lpwstr>_Toc141780300</vt:lpwstr>
      </vt:variant>
      <vt:variant>
        <vt:i4>1900602</vt:i4>
      </vt:variant>
      <vt:variant>
        <vt:i4>128</vt:i4>
      </vt:variant>
      <vt:variant>
        <vt:i4>0</vt:i4>
      </vt:variant>
      <vt:variant>
        <vt:i4>5</vt:i4>
      </vt:variant>
      <vt:variant>
        <vt:lpwstr/>
      </vt:variant>
      <vt:variant>
        <vt:lpwstr>_Toc141780299</vt:lpwstr>
      </vt:variant>
      <vt:variant>
        <vt:i4>1900602</vt:i4>
      </vt:variant>
      <vt:variant>
        <vt:i4>125</vt:i4>
      </vt:variant>
      <vt:variant>
        <vt:i4>0</vt:i4>
      </vt:variant>
      <vt:variant>
        <vt:i4>5</vt:i4>
      </vt:variant>
      <vt:variant>
        <vt:lpwstr/>
      </vt:variant>
      <vt:variant>
        <vt:lpwstr>_Toc141780298</vt:lpwstr>
      </vt:variant>
      <vt:variant>
        <vt:i4>1900602</vt:i4>
      </vt:variant>
      <vt:variant>
        <vt:i4>122</vt:i4>
      </vt:variant>
      <vt:variant>
        <vt:i4>0</vt:i4>
      </vt:variant>
      <vt:variant>
        <vt:i4>5</vt:i4>
      </vt:variant>
      <vt:variant>
        <vt:lpwstr/>
      </vt:variant>
      <vt:variant>
        <vt:lpwstr>_Toc141780297</vt:lpwstr>
      </vt:variant>
      <vt:variant>
        <vt:i4>1900602</vt:i4>
      </vt:variant>
      <vt:variant>
        <vt:i4>119</vt:i4>
      </vt:variant>
      <vt:variant>
        <vt:i4>0</vt:i4>
      </vt:variant>
      <vt:variant>
        <vt:i4>5</vt:i4>
      </vt:variant>
      <vt:variant>
        <vt:lpwstr/>
      </vt:variant>
      <vt:variant>
        <vt:lpwstr>_Toc141780296</vt:lpwstr>
      </vt:variant>
      <vt:variant>
        <vt:i4>1900602</vt:i4>
      </vt:variant>
      <vt:variant>
        <vt:i4>116</vt:i4>
      </vt:variant>
      <vt:variant>
        <vt:i4>0</vt:i4>
      </vt:variant>
      <vt:variant>
        <vt:i4>5</vt:i4>
      </vt:variant>
      <vt:variant>
        <vt:lpwstr/>
      </vt:variant>
      <vt:variant>
        <vt:lpwstr>_Toc141780295</vt:lpwstr>
      </vt:variant>
      <vt:variant>
        <vt:i4>1900602</vt:i4>
      </vt:variant>
      <vt:variant>
        <vt:i4>113</vt:i4>
      </vt:variant>
      <vt:variant>
        <vt:i4>0</vt:i4>
      </vt:variant>
      <vt:variant>
        <vt:i4>5</vt:i4>
      </vt:variant>
      <vt:variant>
        <vt:lpwstr/>
      </vt:variant>
      <vt:variant>
        <vt:lpwstr>_Toc141780294</vt:lpwstr>
      </vt:variant>
      <vt:variant>
        <vt:i4>1900602</vt:i4>
      </vt:variant>
      <vt:variant>
        <vt:i4>110</vt:i4>
      </vt:variant>
      <vt:variant>
        <vt:i4>0</vt:i4>
      </vt:variant>
      <vt:variant>
        <vt:i4>5</vt:i4>
      </vt:variant>
      <vt:variant>
        <vt:lpwstr/>
      </vt:variant>
      <vt:variant>
        <vt:lpwstr>_Toc141780293</vt:lpwstr>
      </vt:variant>
      <vt:variant>
        <vt:i4>1900602</vt:i4>
      </vt:variant>
      <vt:variant>
        <vt:i4>107</vt:i4>
      </vt:variant>
      <vt:variant>
        <vt:i4>0</vt:i4>
      </vt:variant>
      <vt:variant>
        <vt:i4>5</vt:i4>
      </vt:variant>
      <vt:variant>
        <vt:lpwstr/>
      </vt:variant>
      <vt:variant>
        <vt:lpwstr>_Toc141780292</vt:lpwstr>
      </vt:variant>
      <vt:variant>
        <vt:i4>1900602</vt:i4>
      </vt:variant>
      <vt:variant>
        <vt:i4>104</vt:i4>
      </vt:variant>
      <vt:variant>
        <vt:i4>0</vt:i4>
      </vt:variant>
      <vt:variant>
        <vt:i4>5</vt:i4>
      </vt:variant>
      <vt:variant>
        <vt:lpwstr/>
      </vt:variant>
      <vt:variant>
        <vt:lpwstr>_Toc141780291</vt:lpwstr>
      </vt:variant>
      <vt:variant>
        <vt:i4>1900602</vt:i4>
      </vt:variant>
      <vt:variant>
        <vt:i4>101</vt:i4>
      </vt:variant>
      <vt:variant>
        <vt:i4>0</vt:i4>
      </vt:variant>
      <vt:variant>
        <vt:i4>5</vt:i4>
      </vt:variant>
      <vt:variant>
        <vt:lpwstr/>
      </vt:variant>
      <vt:variant>
        <vt:lpwstr>_Toc141780290</vt:lpwstr>
      </vt:variant>
      <vt:variant>
        <vt:i4>1835066</vt:i4>
      </vt:variant>
      <vt:variant>
        <vt:i4>98</vt:i4>
      </vt:variant>
      <vt:variant>
        <vt:i4>0</vt:i4>
      </vt:variant>
      <vt:variant>
        <vt:i4>5</vt:i4>
      </vt:variant>
      <vt:variant>
        <vt:lpwstr/>
      </vt:variant>
      <vt:variant>
        <vt:lpwstr>_Toc141780289</vt:lpwstr>
      </vt:variant>
      <vt:variant>
        <vt:i4>1835066</vt:i4>
      </vt:variant>
      <vt:variant>
        <vt:i4>95</vt:i4>
      </vt:variant>
      <vt:variant>
        <vt:i4>0</vt:i4>
      </vt:variant>
      <vt:variant>
        <vt:i4>5</vt:i4>
      </vt:variant>
      <vt:variant>
        <vt:lpwstr/>
      </vt:variant>
      <vt:variant>
        <vt:lpwstr>_Toc141780288</vt:lpwstr>
      </vt:variant>
      <vt:variant>
        <vt:i4>1835066</vt:i4>
      </vt:variant>
      <vt:variant>
        <vt:i4>92</vt:i4>
      </vt:variant>
      <vt:variant>
        <vt:i4>0</vt:i4>
      </vt:variant>
      <vt:variant>
        <vt:i4>5</vt:i4>
      </vt:variant>
      <vt:variant>
        <vt:lpwstr/>
      </vt:variant>
      <vt:variant>
        <vt:lpwstr>_Toc141780287</vt:lpwstr>
      </vt:variant>
      <vt:variant>
        <vt:i4>1835066</vt:i4>
      </vt:variant>
      <vt:variant>
        <vt:i4>89</vt:i4>
      </vt:variant>
      <vt:variant>
        <vt:i4>0</vt:i4>
      </vt:variant>
      <vt:variant>
        <vt:i4>5</vt:i4>
      </vt:variant>
      <vt:variant>
        <vt:lpwstr/>
      </vt:variant>
      <vt:variant>
        <vt:lpwstr>_Toc141780286</vt:lpwstr>
      </vt:variant>
      <vt:variant>
        <vt:i4>1835066</vt:i4>
      </vt:variant>
      <vt:variant>
        <vt:i4>86</vt:i4>
      </vt:variant>
      <vt:variant>
        <vt:i4>0</vt:i4>
      </vt:variant>
      <vt:variant>
        <vt:i4>5</vt:i4>
      </vt:variant>
      <vt:variant>
        <vt:lpwstr/>
      </vt:variant>
      <vt:variant>
        <vt:lpwstr>_Toc141780285</vt:lpwstr>
      </vt:variant>
      <vt:variant>
        <vt:i4>1835066</vt:i4>
      </vt:variant>
      <vt:variant>
        <vt:i4>83</vt:i4>
      </vt:variant>
      <vt:variant>
        <vt:i4>0</vt:i4>
      </vt:variant>
      <vt:variant>
        <vt:i4>5</vt:i4>
      </vt:variant>
      <vt:variant>
        <vt:lpwstr/>
      </vt:variant>
      <vt:variant>
        <vt:lpwstr>_Toc141780284</vt:lpwstr>
      </vt:variant>
      <vt:variant>
        <vt:i4>1835066</vt:i4>
      </vt:variant>
      <vt:variant>
        <vt:i4>80</vt:i4>
      </vt:variant>
      <vt:variant>
        <vt:i4>0</vt:i4>
      </vt:variant>
      <vt:variant>
        <vt:i4>5</vt:i4>
      </vt:variant>
      <vt:variant>
        <vt:lpwstr/>
      </vt:variant>
      <vt:variant>
        <vt:lpwstr>_Toc141780283</vt:lpwstr>
      </vt:variant>
      <vt:variant>
        <vt:i4>1835066</vt:i4>
      </vt:variant>
      <vt:variant>
        <vt:i4>77</vt:i4>
      </vt:variant>
      <vt:variant>
        <vt:i4>0</vt:i4>
      </vt:variant>
      <vt:variant>
        <vt:i4>5</vt:i4>
      </vt:variant>
      <vt:variant>
        <vt:lpwstr/>
      </vt:variant>
      <vt:variant>
        <vt:lpwstr>_Toc141780282</vt:lpwstr>
      </vt:variant>
      <vt:variant>
        <vt:i4>1835066</vt:i4>
      </vt:variant>
      <vt:variant>
        <vt:i4>74</vt:i4>
      </vt:variant>
      <vt:variant>
        <vt:i4>0</vt:i4>
      </vt:variant>
      <vt:variant>
        <vt:i4>5</vt:i4>
      </vt:variant>
      <vt:variant>
        <vt:lpwstr/>
      </vt:variant>
      <vt:variant>
        <vt:lpwstr>_Toc141780281</vt:lpwstr>
      </vt:variant>
      <vt:variant>
        <vt:i4>1835066</vt:i4>
      </vt:variant>
      <vt:variant>
        <vt:i4>71</vt:i4>
      </vt:variant>
      <vt:variant>
        <vt:i4>0</vt:i4>
      </vt:variant>
      <vt:variant>
        <vt:i4>5</vt:i4>
      </vt:variant>
      <vt:variant>
        <vt:lpwstr/>
      </vt:variant>
      <vt:variant>
        <vt:lpwstr>_Toc141780280</vt:lpwstr>
      </vt:variant>
      <vt:variant>
        <vt:i4>1245242</vt:i4>
      </vt:variant>
      <vt:variant>
        <vt:i4>68</vt:i4>
      </vt:variant>
      <vt:variant>
        <vt:i4>0</vt:i4>
      </vt:variant>
      <vt:variant>
        <vt:i4>5</vt:i4>
      </vt:variant>
      <vt:variant>
        <vt:lpwstr/>
      </vt:variant>
      <vt:variant>
        <vt:lpwstr>_Toc141780279</vt:lpwstr>
      </vt:variant>
      <vt:variant>
        <vt:i4>1245242</vt:i4>
      </vt:variant>
      <vt:variant>
        <vt:i4>65</vt:i4>
      </vt:variant>
      <vt:variant>
        <vt:i4>0</vt:i4>
      </vt:variant>
      <vt:variant>
        <vt:i4>5</vt:i4>
      </vt:variant>
      <vt:variant>
        <vt:lpwstr/>
      </vt:variant>
      <vt:variant>
        <vt:lpwstr>_Toc141780278</vt:lpwstr>
      </vt:variant>
      <vt:variant>
        <vt:i4>1245242</vt:i4>
      </vt:variant>
      <vt:variant>
        <vt:i4>62</vt:i4>
      </vt:variant>
      <vt:variant>
        <vt:i4>0</vt:i4>
      </vt:variant>
      <vt:variant>
        <vt:i4>5</vt:i4>
      </vt:variant>
      <vt:variant>
        <vt:lpwstr/>
      </vt:variant>
      <vt:variant>
        <vt:lpwstr>_Toc141780277</vt:lpwstr>
      </vt:variant>
      <vt:variant>
        <vt:i4>1245242</vt:i4>
      </vt:variant>
      <vt:variant>
        <vt:i4>59</vt:i4>
      </vt:variant>
      <vt:variant>
        <vt:i4>0</vt:i4>
      </vt:variant>
      <vt:variant>
        <vt:i4>5</vt:i4>
      </vt:variant>
      <vt:variant>
        <vt:lpwstr/>
      </vt:variant>
      <vt:variant>
        <vt:lpwstr>_Toc141780276</vt:lpwstr>
      </vt:variant>
      <vt:variant>
        <vt:i4>1245242</vt:i4>
      </vt:variant>
      <vt:variant>
        <vt:i4>56</vt:i4>
      </vt:variant>
      <vt:variant>
        <vt:i4>0</vt:i4>
      </vt:variant>
      <vt:variant>
        <vt:i4>5</vt:i4>
      </vt:variant>
      <vt:variant>
        <vt:lpwstr/>
      </vt:variant>
      <vt:variant>
        <vt:lpwstr>_Toc141780275</vt:lpwstr>
      </vt:variant>
      <vt:variant>
        <vt:i4>1245242</vt:i4>
      </vt:variant>
      <vt:variant>
        <vt:i4>53</vt:i4>
      </vt:variant>
      <vt:variant>
        <vt:i4>0</vt:i4>
      </vt:variant>
      <vt:variant>
        <vt:i4>5</vt:i4>
      </vt:variant>
      <vt:variant>
        <vt:lpwstr/>
      </vt:variant>
      <vt:variant>
        <vt:lpwstr>_Toc141780274</vt:lpwstr>
      </vt:variant>
      <vt:variant>
        <vt:i4>1245242</vt:i4>
      </vt:variant>
      <vt:variant>
        <vt:i4>50</vt:i4>
      </vt:variant>
      <vt:variant>
        <vt:i4>0</vt:i4>
      </vt:variant>
      <vt:variant>
        <vt:i4>5</vt:i4>
      </vt:variant>
      <vt:variant>
        <vt:lpwstr/>
      </vt:variant>
      <vt:variant>
        <vt:lpwstr>_Toc141780273</vt:lpwstr>
      </vt:variant>
      <vt:variant>
        <vt:i4>1245242</vt:i4>
      </vt:variant>
      <vt:variant>
        <vt:i4>47</vt:i4>
      </vt:variant>
      <vt:variant>
        <vt:i4>0</vt:i4>
      </vt:variant>
      <vt:variant>
        <vt:i4>5</vt:i4>
      </vt:variant>
      <vt:variant>
        <vt:lpwstr/>
      </vt:variant>
      <vt:variant>
        <vt:lpwstr>_Toc141780272</vt:lpwstr>
      </vt:variant>
      <vt:variant>
        <vt:i4>1245242</vt:i4>
      </vt:variant>
      <vt:variant>
        <vt:i4>44</vt:i4>
      </vt:variant>
      <vt:variant>
        <vt:i4>0</vt:i4>
      </vt:variant>
      <vt:variant>
        <vt:i4>5</vt:i4>
      </vt:variant>
      <vt:variant>
        <vt:lpwstr/>
      </vt:variant>
      <vt:variant>
        <vt:lpwstr>_Toc141780271</vt:lpwstr>
      </vt:variant>
      <vt:variant>
        <vt:i4>1245242</vt:i4>
      </vt:variant>
      <vt:variant>
        <vt:i4>41</vt:i4>
      </vt:variant>
      <vt:variant>
        <vt:i4>0</vt:i4>
      </vt:variant>
      <vt:variant>
        <vt:i4>5</vt:i4>
      </vt:variant>
      <vt:variant>
        <vt:lpwstr/>
      </vt:variant>
      <vt:variant>
        <vt:lpwstr>_Toc141780270</vt:lpwstr>
      </vt:variant>
      <vt:variant>
        <vt:i4>1179706</vt:i4>
      </vt:variant>
      <vt:variant>
        <vt:i4>38</vt:i4>
      </vt:variant>
      <vt:variant>
        <vt:i4>0</vt:i4>
      </vt:variant>
      <vt:variant>
        <vt:i4>5</vt:i4>
      </vt:variant>
      <vt:variant>
        <vt:lpwstr/>
      </vt:variant>
      <vt:variant>
        <vt:lpwstr>_Toc141780269</vt:lpwstr>
      </vt:variant>
      <vt:variant>
        <vt:i4>1179706</vt:i4>
      </vt:variant>
      <vt:variant>
        <vt:i4>35</vt:i4>
      </vt:variant>
      <vt:variant>
        <vt:i4>0</vt:i4>
      </vt:variant>
      <vt:variant>
        <vt:i4>5</vt:i4>
      </vt:variant>
      <vt:variant>
        <vt:lpwstr/>
      </vt:variant>
      <vt:variant>
        <vt:lpwstr>_Toc141780268</vt:lpwstr>
      </vt:variant>
      <vt:variant>
        <vt:i4>1179706</vt:i4>
      </vt:variant>
      <vt:variant>
        <vt:i4>32</vt:i4>
      </vt:variant>
      <vt:variant>
        <vt:i4>0</vt:i4>
      </vt:variant>
      <vt:variant>
        <vt:i4>5</vt:i4>
      </vt:variant>
      <vt:variant>
        <vt:lpwstr/>
      </vt:variant>
      <vt:variant>
        <vt:lpwstr>_Toc141780267</vt:lpwstr>
      </vt:variant>
      <vt:variant>
        <vt:i4>1179706</vt:i4>
      </vt:variant>
      <vt:variant>
        <vt:i4>29</vt:i4>
      </vt:variant>
      <vt:variant>
        <vt:i4>0</vt:i4>
      </vt:variant>
      <vt:variant>
        <vt:i4>5</vt:i4>
      </vt:variant>
      <vt:variant>
        <vt:lpwstr/>
      </vt:variant>
      <vt:variant>
        <vt:lpwstr>_Toc141780266</vt:lpwstr>
      </vt:variant>
      <vt:variant>
        <vt:i4>1179706</vt:i4>
      </vt:variant>
      <vt:variant>
        <vt:i4>26</vt:i4>
      </vt:variant>
      <vt:variant>
        <vt:i4>0</vt:i4>
      </vt:variant>
      <vt:variant>
        <vt:i4>5</vt:i4>
      </vt:variant>
      <vt:variant>
        <vt:lpwstr/>
      </vt:variant>
      <vt:variant>
        <vt:lpwstr>_Toc141780265</vt:lpwstr>
      </vt:variant>
      <vt:variant>
        <vt:i4>1179706</vt:i4>
      </vt:variant>
      <vt:variant>
        <vt:i4>23</vt:i4>
      </vt:variant>
      <vt:variant>
        <vt:i4>0</vt:i4>
      </vt:variant>
      <vt:variant>
        <vt:i4>5</vt:i4>
      </vt:variant>
      <vt:variant>
        <vt:lpwstr/>
      </vt:variant>
      <vt:variant>
        <vt:lpwstr>_Toc141780264</vt:lpwstr>
      </vt:variant>
      <vt:variant>
        <vt:i4>1179706</vt:i4>
      </vt:variant>
      <vt:variant>
        <vt:i4>20</vt:i4>
      </vt:variant>
      <vt:variant>
        <vt:i4>0</vt:i4>
      </vt:variant>
      <vt:variant>
        <vt:i4>5</vt:i4>
      </vt:variant>
      <vt:variant>
        <vt:lpwstr/>
      </vt:variant>
      <vt:variant>
        <vt:lpwstr>_Toc141780263</vt:lpwstr>
      </vt:variant>
      <vt:variant>
        <vt:i4>1179706</vt:i4>
      </vt:variant>
      <vt:variant>
        <vt:i4>17</vt:i4>
      </vt:variant>
      <vt:variant>
        <vt:i4>0</vt:i4>
      </vt:variant>
      <vt:variant>
        <vt:i4>5</vt:i4>
      </vt:variant>
      <vt:variant>
        <vt:lpwstr/>
      </vt:variant>
      <vt:variant>
        <vt:lpwstr>_Toc141780262</vt:lpwstr>
      </vt:variant>
      <vt:variant>
        <vt:i4>1179706</vt:i4>
      </vt:variant>
      <vt:variant>
        <vt:i4>14</vt:i4>
      </vt:variant>
      <vt:variant>
        <vt:i4>0</vt:i4>
      </vt:variant>
      <vt:variant>
        <vt:i4>5</vt:i4>
      </vt:variant>
      <vt:variant>
        <vt:lpwstr/>
      </vt:variant>
      <vt:variant>
        <vt:lpwstr>_Toc141780261</vt:lpwstr>
      </vt:variant>
      <vt:variant>
        <vt:i4>1179706</vt:i4>
      </vt:variant>
      <vt:variant>
        <vt:i4>11</vt:i4>
      </vt:variant>
      <vt:variant>
        <vt:i4>0</vt:i4>
      </vt:variant>
      <vt:variant>
        <vt:i4>5</vt:i4>
      </vt:variant>
      <vt:variant>
        <vt:lpwstr/>
      </vt:variant>
      <vt:variant>
        <vt:lpwstr>_Toc141780260</vt:lpwstr>
      </vt:variant>
      <vt:variant>
        <vt:i4>1114170</vt:i4>
      </vt:variant>
      <vt:variant>
        <vt:i4>8</vt:i4>
      </vt:variant>
      <vt:variant>
        <vt:i4>0</vt:i4>
      </vt:variant>
      <vt:variant>
        <vt:i4>5</vt:i4>
      </vt:variant>
      <vt:variant>
        <vt:lpwstr/>
      </vt:variant>
      <vt:variant>
        <vt:lpwstr>_Toc141780259</vt:lpwstr>
      </vt:variant>
      <vt:variant>
        <vt:i4>1114170</vt:i4>
      </vt:variant>
      <vt:variant>
        <vt:i4>5</vt:i4>
      </vt:variant>
      <vt:variant>
        <vt:i4>0</vt:i4>
      </vt:variant>
      <vt:variant>
        <vt:i4>5</vt:i4>
      </vt:variant>
      <vt:variant>
        <vt:lpwstr/>
      </vt:variant>
      <vt:variant>
        <vt:lpwstr>_Toc141780258</vt:lpwstr>
      </vt:variant>
      <vt:variant>
        <vt:i4>1114170</vt:i4>
      </vt:variant>
      <vt:variant>
        <vt:i4>2</vt:i4>
      </vt:variant>
      <vt:variant>
        <vt:i4>0</vt:i4>
      </vt:variant>
      <vt:variant>
        <vt:i4>5</vt:i4>
      </vt:variant>
      <vt:variant>
        <vt:lpwstr/>
      </vt:variant>
      <vt:variant>
        <vt:lpwstr>_Toc141780257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Section II</dc:title>
  <dc:subject/>
  <dc:creator/>
  <cp:keywords/>
  <cp:lastModifiedBy/>
  <cp:revision>1</cp:revision>
  <dcterms:created xsi:type="dcterms:W3CDTF">2025-05-28T18:48:00Z</dcterms:created>
  <dcterms:modified xsi:type="dcterms:W3CDTF">2025-05-28T18:48:00Z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